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  <w:lang w:val="en-US" w:eastAsia="zh-CN"/>
        </w:rPr>
      </w:pPr>
    </w:p>
    <w:p>
      <w:pPr>
        <w:ind w:firstLine="42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SDS编号004                                         编制日期：201607         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化学品安全技术说明书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第1部分--化学品及企业标识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化学品中文名称     ：苯酚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化学品中文别名     ：石碳酸、工业酚、羟基苯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化学品英文名称     ：phenol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化学式             ：C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vertAlign w:val="subscript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H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vertAlign w:val="subscript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OH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生产者或供应商信息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公司               ：国药集团化学试剂有限公司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地址               ：上海市宁波路52号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电话               ：021-63219651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应急联络电话       ：021-62679090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推荐用途和限制用   ：/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第2部分--危险性概述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GHS危害分类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急性毒性         经口-3 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 皮肤腐蚀/刺激-1B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 严重眼损伤/眼睛刺激性-1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 生殖细胞突变型-2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 特异性靶器官系统毒性反复接触-2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对水环境的危害   急性-2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 长期慢性-2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标签要素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危害象形图       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2847340" cy="742950"/>
            <wp:effectExtent l="0" t="0" r="10160" b="0"/>
            <wp:docPr id="2" name="图片 2" descr="146941262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694126239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警示词           危险</w:t>
      </w:r>
    </w:p>
    <w:p>
      <w:pPr>
        <w:wordWrap w:val="0"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危险信息        可燃液体；吞食有害；皮肤接触有毒；造成严重皮 肤灼伤和眼睛损伤   </w:t>
      </w:r>
    </w:p>
    <w:p>
      <w:pPr>
        <w:wordWrap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防范说明       置容器于通风良好的地方；若与眼睛接触立即用大量水洗涤并及时就医，衣服一经污染立即脱掉，如</w:t>
      </w:r>
    </w:p>
    <w:p>
      <w:pPr>
        <w:wordWrap/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遇意外或感觉不适立即就医 。</w:t>
      </w:r>
    </w:p>
    <w:p>
      <w:pPr>
        <w:wordWrap/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预防措施       尽可能采取隔离操作</w:t>
      </w:r>
    </w:p>
    <w:p>
      <w:pPr>
        <w:wordWrap/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操作人员必须经过专门培训，严格遵守操作规程</w:t>
      </w:r>
    </w:p>
    <w:p>
      <w:pPr>
        <w:wordWrap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 建议操作人员佩戴自吸式过滤式防尘口罩 ，戴化学安全防护眼镜，穿透气性防毒服，戴防化学品手套 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事故响应    </w:t>
      </w:r>
    </w:p>
    <w:p>
      <w:pPr>
        <w:wordWrap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皮肤接触      立即脱去污染的衣物，用甘油、聚乙烯乙二醇或聚乙 烯乙二醇和酒精混合液（7:3）抹洗，然后用水彻底</w:t>
      </w:r>
    </w:p>
    <w:p>
      <w:pPr>
        <w:wordWrap/>
        <w:jc w:val="both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              清洗，就医。  </w:t>
      </w:r>
    </w:p>
    <w:p>
      <w:pPr>
        <w:wordWrap w:val="0"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吸入          迅速脱离现场至空气新鲜处。保持呼吸道通畅，如遇吸困难给输氧，就医。                         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食入            立即给饮植物油15-30ml催吐，就医                        </w:t>
      </w:r>
    </w:p>
    <w:p>
      <w:pPr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wordWrap/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第3部分--成分组成信息</w:t>
      </w:r>
    </w:p>
    <w:tbl>
      <w:tblPr>
        <w:tblStyle w:val="6"/>
        <w:tblW w:w="8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160"/>
        <w:gridCol w:w="2160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危险组分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浓度或浓度范围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CAS NO.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苯酚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108-95-2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7"/>
              <w:tblpPr w:leftFromText="180" w:rightFromText="180" w:vertAnchor="text" w:horzAnchor="page" w:tblpX="125" w:tblpY="66"/>
              <w:tblOverlap w:val="never"/>
              <w:tblW w:w="3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" w:hRule="atLeast"/>
              </w:trPr>
              <w:tc>
                <w:tcPr>
                  <w:tcW w:w="39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7"/>
              <w:tblpPr w:leftFromText="180" w:rightFromText="180" w:vertAnchor="text" w:horzAnchor="page" w:tblpX="125" w:tblpY="56"/>
              <w:tblOverlap w:val="never"/>
              <w:tblW w:w="3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混和物</w:t>
            </w:r>
          </w:p>
        </w:tc>
      </w:tr>
    </w:tbl>
    <w:p>
      <w:pPr>
        <w:wordWrap/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第4部分--急救措施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-皮肤接触：立即脱去污染的衣服，用甘油、聚乙二醇或聚乙二醇和酒  精混合液(7:3)抹皮肤后立即用大量流动清水冲洗。再用饱和硫酸钠溶液湿敷。或用大量流动水冲洗至少15分钟。就医。 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-眼睛接触：用生理盐水、冷开水或清水至少冲洗15分钟,对症处理。 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-吸  入：迅速脱离现场至空气新鲜处。保持呼吸道通畅。如呼吸困难， 立即进行心肺复苏术。就医。 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-食  入：立即给饮食植物油15-30ml。催吐。就</w:t>
      </w:r>
    </w:p>
    <w:p>
      <w:pPr>
        <w:wordWrap/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第5部分 消防措施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危险特性：遇明火、高热可燃。 有害燃烧产物：一氧化碳、二氧化 碳 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灭火方法：消防人员必须佩带防毒面具、全身消防服，在上风向灭火。灭火剂：水、抗溶性泡沫、干粉、二氧化碳。 </w:t>
      </w:r>
    </w:p>
    <w:p>
      <w:pPr>
        <w:pStyle w:val="4"/>
        <w:spacing w:before="0" w:beforeAutospacing="0" w:after="0" w:afterAutospacing="0" w:line="400" w:lineRule="atLeast"/>
        <w:ind w:left="1440" w:hanging="1440" w:hangingChars="600"/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第6部分--泄露应急处理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应急处理：隔离泄漏污染区，限制出入。切断火源。建议应急处理人员戴防尘面具（全面罩），穿防毒服。小量泄露：用干石灰、苏打覆盖。大量泄露：收集回收或运废物处理场所处置。</w:t>
      </w:r>
    </w:p>
    <w:p>
      <w:pPr>
        <w:wordWrap/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spacing w:line="400" w:lineRule="exact"/>
        <w:ind w:left="1200" w:hanging="1200" w:hangingChars="500"/>
        <w:jc w:val="center"/>
        <w:rPr>
          <w:rFonts w:hint="eastAsia" w:ascii="楷体" w:hAnsi="楷体" w:eastAsia="楷体" w:cs="楷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val="en-US" w:eastAsia="zh-CN"/>
        </w:rPr>
        <w:t>第7部分--操作处置与储存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操作注意事项：严加密闭，提供充分的局部排风。尽可能采取隔离操作。操作人员必须经过专门培训，严格遵守操作规程。建议操作人员佩带自吸式防尘口罩，戴化学安全防护眼镜，穿透气防毒服，戴防化学品手套。远离火种、热源，工作场所严禁吸烟。使用防爆型的通风系统和设备。避免产生粉尘。避免与氧化剂、酸类、碱类接触。搬运时要轻装轻卸，防止包装及容器损坏。配备相应品种和数量的消防器材及泄露应急处理设备。倒空的容器可能残留有害物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储存注意事项：储存于阴凉、通风的库房。远离火种、热源。库温不宜超过30℃，相对湿度不超过70%。包装密封。应对与氧化剂、酸类、碱类、食用化学品分开存放，切忌混储，配备 相应品种和数量的消防器材。储区应备有合适的材料收容泄露物。应严格执行极毒物物品“无双”管理制度。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第8部分 接触控制/个体防护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MAC(mg/m3):未制定标准 PC-TWA（mg/m3）: 20 PC-STEL（mg/m3）: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TLV-C(mg/m3): - TLV-VTN(mg/m3): OSHA 5ppm，19mg/m3[皮] TLV-STEL(mg/m3): 35ppm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监测方法：便携式气相色谱法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工程控制：严加密闭，提供充分的局部排风。尽可能采取隔离操作。提供安全淋浴和洗眼设备。 呼吸系统防护：可能接触其粉尘时，佩带自吸过滤式防尘口罩。紧急事态抢救或撤离时，应该佩带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自给式呼吸器。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眼睛防护：戴化学安全防护眼镜。 身体防护：穿透气行防毒服。 手 防 护：戴化学品套。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其他防护：工作现场禁止吸烟、进食和饮水。工作完毕，彻底清洗。单独存放被毒物污染的衣服，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洗后备用。实行就业前和定期检查。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第九部分 理化特性</w:t>
      </w:r>
    </w:p>
    <w:p>
      <w:pPr>
        <w:jc w:val="left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</w:p>
    <w:tbl>
      <w:tblPr>
        <w:tblStyle w:val="6"/>
        <w:tblW w:w="8469" w:type="dxa"/>
        <w:tblCellSpacing w:w="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5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pH值（指明浓度）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无资料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熔点/凝固点(℃)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沸点、初沸点和沸程(℃)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181.9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密度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相对蒸气密度(空气=1)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3.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相对密度(水=1)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 1.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燃烧热(kJ/mol)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3050.6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left="105" w:leftChars="50"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饱和蒸气压(kPa)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 0.13(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40.1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℃))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临界压力(MPa)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6.13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临界温度(℃)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419.2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闪点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 </w:t>
            </w: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n-辛醇/水分配系数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 xml:space="preserve">: 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分解温度(℃)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 无资料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引燃温度(℃)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5" w:type="dxa"/>
            <w:vAlign w:val="center"/>
          </w:tcPr>
          <w:p>
            <w:pPr>
              <w:pStyle w:val="4"/>
              <w:spacing w:line="400" w:lineRule="atLeas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爆炸下限[％(V/V)]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1.7</w:t>
            </w:r>
          </w:p>
        </w:tc>
        <w:tc>
          <w:tcPr>
            <w:tcW w:w="4444" w:type="dxa"/>
            <w:vAlign w:val="center"/>
          </w:tcPr>
          <w:p>
            <w:pPr>
              <w:pStyle w:val="4"/>
              <w:spacing w:line="400" w:lineRule="atLeast"/>
              <w:ind w:firstLine="120" w:firstLineChars="50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Style w:val="8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爆炸上限[％(V/V)]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: </w:t>
            </w:r>
            <w:r>
              <w:rPr>
                <w:rStyle w:val="9"/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8.6</w:t>
            </w:r>
          </w:p>
        </w:tc>
      </w:tr>
    </w:tbl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外观与性状：白色晶体，有特殊气味。 pH值: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溶解性：易溶于乙醇、醚、氯仿、甘油。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主要用途：用作生产酚醛树脂、卡普隆和已二酸的原料，以用于塑料和医药化工。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pStyle w:val="4"/>
        <w:spacing w:before="80" w:beforeAutospacing="0" w:after="80" w:afterAutospacing="0" w:line="400" w:lineRule="atLeast"/>
        <w:ind w:left="1202" w:hanging="1202"/>
        <w:jc w:val="center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第10部分--稳定性和反应性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稳定性：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禁配物：强氧化剂、强酸、强碱。 避免接触的条件：光照 聚合危害： 分解产物：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第12部分 毒理学资料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急性毒性：LD50：317mg/kg（大鼠经口）；850mg/kg（兔经皮） LD50：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大鼠经口LD50(mg/kg): 317 TDL0: 人经口TDL0: LC50：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大鼠吸入LC50(mg/m3): 316mg/m3 大鼠吸入LCL0(mg/m3):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人吸入LCL0(mg/m3):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刺激性：家兔经眼：1mg，重度剌激。家兔经皮：500mg/24小时，重度刺激。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亚急性与慢性毒性：动物长期吸入酚蒸气(115.2-230.4mg/m3)可引起呼吸困难、肺损害、体重减轻和瘫痪。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致突变性：DNA抑制：人Hela细胞1mmol/L。姊妹染色单体交换：人淋巴细胞5μmol/L。 致癌性：小鼠经皮最低中毒剂量(TDL0)：16g/kg，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40周(间歇)，致癌，皮肤肿瘤。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第12部分  生态学资料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生态毒性： 半数致死浓度LC50：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生物降解性：无资料。 非生物降解性：无资料。 </w:t>
      </w:r>
    </w:p>
    <w:p>
      <w:pPr>
        <w:wordWrap w:val="0"/>
        <w:jc w:val="righ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 xml:space="preserve">其他有害作用：该物质对环境有严重危害，应特别注意对空气、水环 境及水源的污                                  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废弃物性质：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废弃处置方法：用焚烧法处置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第14部分 运输信息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-危险货物编号：61067 UN编号：1671 包装类别：052 包装标志：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-包装方法：小开口钢桶；螺纹口玻璃瓶、铁盖压口玻璃瓶、塑料瓶或金属桶（罐）外普通木箱；螺纹口玻璃瓶、塑料瓶或镀锡薄钢板桶（罐）外满底板花格箱、纤维板箱或胶合板箱。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运输注意事项：铁路运输时应严格按照铁道部《危险货物运输规则》中的危险货物配装表进行配装。运输前应先检查包装内容是否完整、密封，运输过程中要确保容器不泄露、不倒塌、不坠落、不损坏。严禁与酸类、氧化剂、食品及食品添加剂混运。运输途中应防暴晒、雨淋防高温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第15部分 法规信息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法规信息：下列法律法规和标准，对化学品的安全使用、储存、运输、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等方面均作了相应的规定：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-中华人民共和国安全生产法(2002年6月29日第九届全国人大常委会第二十八次会议通过)；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-中华人民共和国职业病防治法(2001年10月27日第九届全国人大常委会第二十四次会议通过)；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-中华人民共和国环境保护法(1989年12月26日第七届全国人大常委会第十一次会议通过)；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-危险化学品安全管理条例(2002年1月9日国务院第52次常务会通过)；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-安全生产许可证条例(2004年1月7日国务院第34次常务会议过)； 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-常用危险化学品的分类及标志(GB 13690-92)；  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-工作场所有害因素职业接触限值(GBZ 2-2002)； 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-危险化学品名录；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-高毒物品目录。 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第16部分 其他信息</w:t>
      </w:r>
    </w:p>
    <w:p>
      <w:pPr>
        <w:pStyle w:val="4"/>
        <w:spacing w:before="80" w:beforeAutospacing="0" w:after="80" w:afterAutospacing="0" w:line="400" w:lineRule="atLeast"/>
        <w:ind w:left="1200" w:hanging="1200"/>
        <w:rPr>
          <w:rStyle w:val="9"/>
          <w:rFonts w:hint="eastAsia" w:ascii="楷体" w:hAnsi="楷体" w:eastAsia="楷体" w:cs="楷体"/>
          <w:sz w:val="28"/>
          <w:szCs w:val="28"/>
        </w:rPr>
      </w:pPr>
      <w:r>
        <w:rPr>
          <w:rStyle w:val="8"/>
          <w:rFonts w:hint="eastAsia" w:ascii="楷体" w:hAnsi="楷体" w:eastAsia="楷体" w:cs="楷体"/>
          <w:sz w:val="28"/>
          <w:szCs w:val="28"/>
        </w:rPr>
        <w:t>修改说明：</w:t>
      </w:r>
      <w:r>
        <w:rPr>
          <w:rStyle w:val="9"/>
          <w:rFonts w:hint="eastAsia" w:ascii="楷体" w:hAnsi="楷体" w:eastAsia="楷体" w:cs="楷体"/>
          <w:sz w:val="28"/>
          <w:szCs w:val="28"/>
        </w:rPr>
        <w:t>本SDS按照《化学品安全技术说明书  内容和项目顺序》（GB/T16483-2008）标准编制；</w:t>
      </w:r>
      <w:r>
        <w:rPr>
          <w:rFonts w:hint="eastAsia" w:ascii="楷体" w:hAnsi="楷体" w:eastAsia="楷体" w:cs="楷体"/>
          <w:sz w:val="28"/>
          <w:szCs w:val="28"/>
        </w:rPr>
        <w:t>由于目前国家尚未颁布化学品GHS分类目录，</w:t>
      </w:r>
      <w:r>
        <w:rPr>
          <w:rStyle w:val="9"/>
          <w:rFonts w:hint="eastAsia" w:ascii="楷体" w:hAnsi="楷体" w:eastAsia="楷体" w:cs="楷体"/>
          <w:sz w:val="28"/>
          <w:szCs w:val="28"/>
        </w:rPr>
        <w:t xml:space="preserve">本SDS中化学品的GHS分类是企业根据化学品分类、警示标签和警示性说明规范系列标准（GB </w:t>
      </w:r>
    </w:p>
    <w:p>
      <w:pPr>
        <w:pStyle w:val="4"/>
        <w:spacing w:before="80" w:beforeAutospacing="0" w:after="80" w:afterAutospacing="0" w:line="400" w:lineRule="atLeast"/>
        <w:ind w:left="1200" w:hanging="1200"/>
        <w:rPr>
          <w:rStyle w:val="9"/>
          <w:rFonts w:hint="eastAsia" w:ascii="楷体" w:hAnsi="楷体" w:eastAsia="楷体" w:cs="楷体"/>
          <w:sz w:val="28"/>
          <w:szCs w:val="28"/>
        </w:rPr>
      </w:pPr>
    </w:p>
    <w:p>
      <w:pPr>
        <w:pStyle w:val="4"/>
        <w:spacing w:before="80" w:beforeAutospacing="0" w:after="80" w:afterAutospacing="0" w:line="400" w:lineRule="atLeast"/>
        <w:ind w:left="1200" w:hanging="1200"/>
        <w:rPr>
          <w:rStyle w:val="9"/>
          <w:rFonts w:hint="eastAsia" w:ascii="楷体" w:hAnsi="楷体" w:eastAsia="楷体" w:cs="楷体"/>
          <w:sz w:val="28"/>
          <w:szCs w:val="28"/>
        </w:rPr>
      </w:pPr>
    </w:p>
    <w:p>
      <w:pPr>
        <w:pStyle w:val="4"/>
        <w:spacing w:before="80" w:beforeAutospacing="0" w:after="80" w:afterAutospacing="0" w:line="400" w:lineRule="atLeast"/>
        <w:ind w:left="1200" w:hanging="1200"/>
        <w:rPr>
          <w:rFonts w:hint="eastAsia" w:ascii="楷体" w:hAnsi="楷体" w:eastAsia="楷体" w:cs="楷体"/>
          <w:sz w:val="28"/>
          <w:szCs w:val="28"/>
        </w:rPr>
      </w:pPr>
      <w:r>
        <w:rPr>
          <w:rStyle w:val="9"/>
          <w:rFonts w:hint="eastAsia" w:ascii="楷体" w:hAnsi="楷体" w:eastAsia="楷体" w:cs="楷体"/>
          <w:sz w:val="28"/>
          <w:szCs w:val="28"/>
        </w:rPr>
        <w:t>20576-2006～GB20602-2006）自行进行的分类</w:t>
      </w:r>
      <w:r>
        <w:rPr>
          <w:rFonts w:hint="eastAsia" w:ascii="楷体" w:hAnsi="楷体" w:eastAsia="楷体" w:cs="楷体"/>
          <w:sz w:val="28"/>
          <w:szCs w:val="28"/>
        </w:rPr>
        <w:t>，待国家化学品GHS类目录颁布后再进行相应调整。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 </w:t>
      </w:r>
    </w:p>
    <w:p>
      <w:pPr>
        <w:ind w:firstLine="420"/>
        <w:rPr>
          <w:rFonts w:hint="eastAsia" w:eastAsiaTheme="minor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1554480</wp:posOffset>
          </wp:positionH>
          <wp:positionV relativeFrom="paragraph">
            <wp:posOffset>-266065</wp:posOffset>
          </wp:positionV>
          <wp:extent cx="1788160" cy="393700"/>
          <wp:effectExtent l="0" t="0" r="2540" b="6350"/>
          <wp:wrapSquare wrapText="bothSides"/>
          <wp:docPr id="1" name="图片 1" descr="66B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6B7.t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5E2E"/>
    <w:rsid w:val="2D2A728F"/>
    <w:rsid w:val="52FC6E82"/>
    <w:rsid w:val="65962D33"/>
    <w:rsid w:val="662F1C10"/>
    <w:rsid w:val="740B5E2E"/>
    <w:rsid w:val="756E32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bt21"/>
    <w:basedOn w:val="5"/>
    <w:qFormat/>
    <w:uiPriority w:val="0"/>
    <w:rPr>
      <w:rFonts w:hint="eastAsia" w:ascii="黑体" w:eastAsia="黑体"/>
      <w:sz w:val="24"/>
      <w:szCs w:val="24"/>
    </w:rPr>
  </w:style>
  <w:style w:type="character" w:customStyle="1" w:styleId="9">
    <w:name w:val="zw1"/>
    <w:basedOn w:val="5"/>
    <w:qFormat/>
    <w:uiPriority w:val="0"/>
    <w:rPr>
      <w:rFonts w:hint="eastAsia" w:ascii="宋体" w:hAnsi="宋体" w:eastAsia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2016-07-24T09:26:00Z</dcterms:created>
  <dc:creator>化验室</dc:creator>
  <cp:lastModifiedBy>化验室</cp:lastModifiedBy>
  <dcterms:modified xsi:type="dcterms:W3CDTF">2016-07-25T02:51:31Z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