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outlineLvl w:val="9"/>
        <w:rPr>
          <w:rFonts w:hint="eastAsia" w:ascii="宋体" w:hAnsi="宋体" w:eastAsia="宋体" w:cs="宋体"/>
          <w:b/>
          <w:sz w:val="28"/>
          <w:szCs w:val="28"/>
        </w:rPr>
      </w:pPr>
      <w:r>
        <w:rPr>
          <w:rFonts w:hint="eastAsia" w:ascii="宋体" w:hAnsi="宋体" w:eastAsia="宋体" w:cs="宋体"/>
          <w:b/>
          <w:sz w:val="28"/>
          <w:szCs w:val="28"/>
          <w:lang w:eastAsia="zh-CN"/>
        </w:rPr>
        <w:t>吡啶</w:t>
      </w:r>
      <w:r>
        <w:rPr>
          <w:rFonts w:hint="eastAsia" w:ascii="宋体" w:hAnsi="宋体" w:eastAsia="宋体" w:cs="宋体"/>
          <w:b/>
          <w:sz w:val="28"/>
          <w:szCs w:val="28"/>
        </w:rPr>
        <w:t>安全技术说明书</w:t>
      </w:r>
      <w:bookmarkStart w:id="0" w:name="_GoBack"/>
      <w:bookmarkEnd w:id="0"/>
    </w:p>
    <w:p>
      <w:pPr>
        <w:spacing w:line="240" w:lineRule="auto"/>
        <w:jc w:val="center"/>
        <w:outlineLvl w:val="9"/>
        <w:rPr>
          <w:rFonts w:hint="eastAsia" w:ascii="宋体" w:hAnsi="宋体" w:eastAsia="宋体" w:cs="宋体"/>
          <w:b/>
          <w:sz w:val="21"/>
          <w:szCs w:val="21"/>
        </w:rPr>
      </w:pPr>
      <w:r>
        <w:rPr>
          <w:rFonts w:hint="eastAsia" w:ascii="宋体" w:hAnsi="宋体" w:eastAsia="宋体" w:cs="宋体"/>
          <w:b/>
          <w:sz w:val="21"/>
          <w:szCs w:val="21"/>
        </w:rPr>
        <w:t>第一部分</w:t>
      </w:r>
      <w:r>
        <w:rPr>
          <w:rFonts w:hint="eastAsia" w:ascii="宋体" w:hAnsi="宋体" w:eastAsia="宋体" w:cs="宋体"/>
          <w:b/>
          <w:sz w:val="21"/>
          <w:szCs w:val="21"/>
        </w:rPr>
        <w:t xml:space="preserve"> </w:t>
      </w:r>
      <w:r>
        <w:rPr>
          <w:rFonts w:hint="eastAsia" w:ascii="宋体" w:hAnsi="宋体" w:eastAsia="宋体" w:cs="宋体"/>
          <w:b/>
          <w:sz w:val="21"/>
          <w:szCs w:val="21"/>
        </w:rPr>
        <w:t xml:space="preserve"> </w:t>
      </w:r>
      <w:r>
        <w:rPr>
          <w:rFonts w:hint="eastAsia" w:ascii="宋体" w:hAnsi="宋体" w:eastAsia="宋体" w:cs="宋体"/>
          <w:b/>
          <w:sz w:val="21"/>
          <w:szCs w:val="21"/>
        </w:rPr>
        <w:t>化学品及企业标识</w:t>
      </w:r>
    </w:p>
    <w:p>
      <w:pPr>
        <w:spacing w:line="240" w:lineRule="auto"/>
        <w:jc w:val="left"/>
        <w:outlineLvl w:val="9"/>
        <w:rPr>
          <w:rFonts w:hint="eastAsia" w:ascii="宋体" w:hAnsi="宋体" w:eastAsia="宋体" w:cs="宋体"/>
          <w:b/>
          <w:sz w:val="21"/>
          <w:szCs w:val="21"/>
          <w:lang w:eastAsia="zh-CN"/>
        </w:rPr>
      </w:pPr>
      <w:r>
        <w:rPr>
          <w:rFonts w:hint="eastAsia" w:ascii="宋体" w:hAnsi="宋体" w:eastAsia="宋体" w:cs="宋体"/>
          <w:b/>
          <w:sz w:val="21"/>
          <w:szCs w:val="21"/>
        </w:rPr>
        <w:t>化学品中文名：</w:t>
      </w:r>
      <w:r>
        <w:rPr>
          <w:rFonts w:hint="eastAsia" w:ascii="宋体" w:hAnsi="宋体" w:eastAsia="宋体" w:cs="宋体"/>
          <w:bCs/>
          <w:sz w:val="21"/>
          <w:szCs w:val="21"/>
          <w:lang w:eastAsia="zh-CN"/>
        </w:rPr>
        <w:t>吡啶</w:t>
      </w:r>
    </w:p>
    <w:p>
      <w:pPr>
        <w:spacing w:line="240" w:lineRule="auto"/>
        <w:jc w:val="left"/>
        <w:outlineLvl w:val="9"/>
        <w:rPr>
          <w:rFonts w:hint="eastAsia" w:ascii="宋体" w:hAnsi="宋体" w:eastAsia="宋体" w:cs="宋体"/>
          <w:sz w:val="21"/>
          <w:szCs w:val="21"/>
          <w:lang w:eastAsia="zh-CN"/>
        </w:rPr>
      </w:pPr>
      <w:r>
        <w:rPr>
          <w:rFonts w:hint="eastAsia" w:ascii="宋体" w:hAnsi="宋体" w:eastAsia="宋体" w:cs="宋体"/>
          <w:b/>
          <w:sz w:val="21"/>
          <w:szCs w:val="21"/>
        </w:rPr>
        <w:t>化学品英文名：</w:t>
      </w:r>
      <w:r>
        <w:rPr>
          <w:rFonts w:hint="eastAsia" w:ascii="宋体" w:hAnsi="宋体" w:eastAsia="宋体" w:cs="宋体"/>
          <w:sz w:val="21"/>
          <w:szCs w:val="21"/>
          <w:lang w:eastAsia="zh-CN"/>
        </w:rPr>
        <w:t>pyridine</w:t>
      </w:r>
    </w:p>
    <w:p>
      <w:pPr>
        <w:spacing w:line="240" w:lineRule="auto"/>
        <w:jc w:val="left"/>
        <w:outlineLvl w:val="9"/>
        <w:rPr>
          <w:rFonts w:hint="eastAsia" w:ascii="宋体" w:hAnsi="宋体" w:eastAsia="宋体" w:cs="宋体"/>
          <w:sz w:val="21"/>
          <w:szCs w:val="21"/>
          <w:lang w:val="en-US" w:eastAsia="zh-CN"/>
        </w:rPr>
      </w:pPr>
      <w:r>
        <w:rPr>
          <w:rFonts w:hint="eastAsia" w:ascii="宋体" w:hAnsi="宋体" w:eastAsia="宋体" w:cs="宋体"/>
          <w:b/>
          <w:sz w:val="21"/>
          <w:szCs w:val="21"/>
          <w:lang w:eastAsia="zh-CN"/>
        </w:rPr>
        <w:t>危险化学品目录序号</w:t>
      </w:r>
      <w:r>
        <w:rPr>
          <w:rFonts w:hint="eastAsia" w:ascii="宋体" w:hAnsi="宋体" w:eastAsia="宋体" w:cs="宋体"/>
          <w:b/>
          <w:sz w:val="21"/>
          <w:szCs w:val="21"/>
        </w:rPr>
        <w:t>：</w:t>
      </w:r>
      <w:r>
        <w:rPr>
          <w:rFonts w:hint="eastAsia" w:ascii="宋体" w:hAnsi="宋体" w:eastAsia="宋体" w:cs="宋体"/>
          <w:b w:val="0"/>
          <w:bCs/>
          <w:sz w:val="21"/>
          <w:szCs w:val="21"/>
          <w:lang w:val="en-US" w:eastAsia="zh-CN"/>
        </w:rPr>
        <w:t>98</w:t>
      </w:r>
    </w:p>
    <w:p>
      <w:pPr>
        <w:spacing w:line="240" w:lineRule="auto"/>
        <w:jc w:val="center"/>
        <w:outlineLvl w:val="9"/>
        <w:rPr>
          <w:rFonts w:hint="eastAsia" w:ascii="宋体" w:hAnsi="宋体" w:eastAsia="宋体" w:cs="宋体"/>
          <w:b/>
          <w:sz w:val="21"/>
          <w:szCs w:val="21"/>
        </w:rPr>
      </w:pPr>
      <w:r>
        <w:rPr>
          <w:rFonts w:hint="eastAsia" w:ascii="宋体" w:hAnsi="宋体" w:eastAsia="宋体" w:cs="宋体"/>
          <w:b/>
          <w:sz w:val="21"/>
          <w:szCs w:val="21"/>
        </w:rPr>
        <w:t>第二部分</w:t>
      </w:r>
      <w:r>
        <w:rPr>
          <w:rFonts w:hint="eastAsia" w:ascii="宋体" w:hAnsi="宋体" w:eastAsia="宋体" w:cs="宋体"/>
          <w:b/>
          <w:sz w:val="21"/>
          <w:szCs w:val="21"/>
        </w:rPr>
        <w:t xml:space="preserve"> </w:t>
      </w:r>
      <w:r>
        <w:rPr>
          <w:rFonts w:hint="eastAsia" w:ascii="宋体" w:hAnsi="宋体" w:eastAsia="宋体" w:cs="宋体"/>
          <w:b/>
          <w:sz w:val="21"/>
          <w:szCs w:val="21"/>
        </w:rPr>
        <w:t xml:space="preserve"> 成分/组成信息</w:t>
      </w:r>
    </w:p>
    <w:p>
      <w:pPr>
        <w:spacing w:line="240" w:lineRule="auto"/>
        <w:ind w:firstLine="1130" w:firstLineChars="500"/>
        <w:outlineLvl w:val="9"/>
        <w:rPr>
          <w:rFonts w:hint="eastAsia" w:ascii="宋体" w:hAnsi="宋体" w:eastAsia="宋体" w:cs="宋体"/>
          <w:sz w:val="21"/>
          <w:szCs w:val="21"/>
          <w:lang w:eastAsia="zh-CN"/>
        </w:rPr>
      </w:pPr>
      <w:r>
        <w:rPr>
          <w:rFonts w:hint="eastAsia" w:ascii="宋体" w:hAnsi="宋体" w:eastAsia="宋体" w:cs="宋体"/>
          <w:sz w:val="21"/>
          <w:szCs w:val="21"/>
        </w:rPr>
        <w:t>纯品</w:t>
      </w:r>
      <w:r>
        <w:rPr>
          <w:rFonts w:hint="eastAsia" w:ascii="宋体" w:hAnsi="宋体" w:eastAsia="宋体" w:cs="宋体"/>
          <w:sz w:val="21"/>
          <w:szCs w:val="21"/>
          <w:lang w:eastAsia="zh-CN"/>
        </w:rPr>
        <w:t>√</w:t>
      </w:r>
      <w:r>
        <w:rPr>
          <w:rFonts w:hint="eastAsia" w:ascii="宋体" w:hAnsi="宋体" w:eastAsia="宋体" w:cs="宋体"/>
          <w:sz w:val="21"/>
          <w:szCs w:val="21"/>
        </w:rPr>
        <w:t xml:space="preserve">               混合物</w:t>
      </w:r>
      <w:r>
        <w:rPr>
          <w:rFonts w:hint="eastAsia" w:ascii="宋体" w:hAnsi="宋体" w:eastAsia="宋体" w:cs="宋体"/>
          <w:sz w:val="21"/>
          <w:szCs w:val="21"/>
          <w:lang w:eastAsia="zh-CN"/>
        </w:rPr>
        <w:t>×</w:t>
      </w:r>
    </w:p>
    <w:tbl>
      <w:tblPr>
        <w:tblStyle w:val="4"/>
        <w:tblW w:w="8388" w:type="dxa"/>
        <w:tblInd w:w="0" w:type="dxa"/>
        <w:tblLayout w:type="fixed"/>
        <w:tblCellMar>
          <w:top w:w="0" w:type="dxa"/>
          <w:left w:w="108" w:type="dxa"/>
          <w:bottom w:w="0" w:type="dxa"/>
          <w:right w:w="108" w:type="dxa"/>
        </w:tblCellMar>
      </w:tblPr>
      <w:tblGrid>
        <w:gridCol w:w="3708"/>
        <w:gridCol w:w="2340"/>
        <w:gridCol w:w="2340"/>
      </w:tblGrid>
      <w:tr>
        <w:tblPrEx>
          <w:tblLayout w:type="fixed"/>
          <w:tblCellMar>
            <w:top w:w="0" w:type="dxa"/>
            <w:left w:w="108" w:type="dxa"/>
            <w:bottom w:w="0" w:type="dxa"/>
            <w:right w:w="108" w:type="dxa"/>
          </w:tblCellMar>
        </w:tblPrEx>
        <w:tc>
          <w:tcPr>
            <w:tcW w:w="3708" w:type="dxa"/>
            <w:vAlign w:val="center"/>
          </w:tcPr>
          <w:p>
            <w:pPr>
              <w:spacing w:line="240" w:lineRule="auto"/>
              <w:jc w:val="center"/>
              <w:outlineLvl w:val="9"/>
              <w:rPr>
                <w:rFonts w:hint="eastAsia" w:ascii="宋体" w:hAnsi="宋体" w:eastAsia="宋体" w:cs="宋体"/>
                <w:b/>
                <w:bCs/>
                <w:sz w:val="21"/>
                <w:szCs w:val="21"/>
              </w:rPr>
            </w:pPr>
            <w:r>
              <w:rPr>
                <w:rFonts w:hint="eastAsia" w:ascii="宋体" w:hAnsi="宋体" w:eastAsia="宋体" w:cs="宋体"/>
                <w:b/>
                <w:bCs/>
                <w:sz w:val="21"/>
                <w:szCs w:val="21"/>
              </w:rPr>
              <w:t>有害物成分</w:t>
            </w:r>
          </w:p>
        </w:tc>
        <w:tc>
          <w:tcPr>
            <w:tcW w:w="2340" w:type="dxa"/>
            <w:vAlign w:val="center"/>
          </w:tcPr>
          <w:p>
            <w:pPr>
              <w:spacing w:line="240" w:lineRule="auto"/>
              <w:jc w:val="center"/>
              <w:outlineLvl w:val="9"/>
              <w:rPr>
                <w:rFonts w:hint="eastAsia" w:ascii="宋体" w:hAnsi="宋体" w:eastAsia="宋体" w:cs="宋体"/>
                <w:b/>
                <w:bCs/>
                <w:sz w:val="21"/>
                <w:szCs w:val="21"/>
              </w:rPr>
            </w:pPr>
            <w:r>
              <w:rPr>
                <w:rFonts w:hint="eastAsia" w:ascii="宋体" w:hAnsi="宋体" w:eastAsia="宋体" w:cs="宋体"/>
                <w:b/>
                <w:bCs/>
                <w:sz w:val="21"/>
                <w:szCs w:val="21"/>
              </w:rPr>
              <w:t>浓度</w:t>
            </w:r>
          </w:p>
        </w:tc>
        <w:tc>
          <w:tcPr>
            <w:tcW w:w="2340" w:type="dxa"/>
            <w:vAlign w:val="center"/>
          </w:tcPr>
          <w:p>
            <w:pPr>
              <w:spacing w:line="240" w:lineRule="auto"/>
              <w:jc w:val="center"/>
              <w:outlineLvl w:val="9"/>
              <w:rPr>
                <w:rFonts w:hint="eastAsia" w:ascii="宋体" w:hAnsi="宋体" w:eastAsia="宋体" w:cs="宋体"/>
                <w:b/>
                <w:bCs/>
                <w:sz w:val="21"/>
                <w:szCs w:val="21"/>
              </w:rPr>
            </w:pPr>
            <w:r>
              <w:rPr>
                <w:rFonts w:hint="eastAsia" w:ascii="宋体" w:hAnsi="宋体" w:eastAsia="宋体" w:cs="宋体"/>
                <w:b/>
                <w:bCs/>
                <w:sz w:val="21"/>
                <w:szCs w:val="21"/>
              </w:rPr>
              <w:t>CAS No.</w:t>
            </w:r>
          </w:p>
        </w:tc>
      </w:tr>
      <w:tr>
        <w:tblPrEx>
          <w:tblLayout w:type="fixed"/>
          <w:tblCellMar>
            <w:top w:w="0" w:type="dxa"/>
            <w:left w:w="108" w:type="dxa"/>
            <w:bottom w:w="0" w:type="dxa"/>
            <w:right w:w="108" w:type="dxa"/>
          </w:tblCellMar>
        </w:tblPrEx>
        <w:tc>
          <w:tcPr>
            <w:tcW w:w="3708" w:type="dxa"/>
            <w:vAlign w:val="center"/>
          </w:tcPr>
          <w:p>
            <w:pPr>
              <w:spacing w:line="240" w:lineRule="auto"/>
              <w:jc w:val="center"/>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吡啶</w:t>
            </w:r>
          </w:p>
        </w:tc>
        <w:tc>
          <w:tcPr>
            <w:tcW w:w="2340" w:type="dxa"/>
            <w:vAlign w:val="center"/>
          </w:tcPr>
          <w:p>
            <w:pPr>
              <w:spacing w:line="240" w:lineRule="auto"/>
              <w:jc w:val="center"/>
              <w:outlineLvl w:val="9"/>
              <w:rPr>
                <w:rFonts w:hint="eastAsia" w:ascii="宋体" w:hAnsi="宋体" w:eastAsia="宋体" w:cs="宋体"/>
                <w:sz w:val="21"/>
                <w:szCs w:val="21"/>
                <w:lang w:eastAsia="zh-CN"/>
              </w:rPr>
            </w:pPr>
          </w:p>
        </w:tc>
        <w:tc>
          <w:tcPr>
            <w:tcW w:w="2340" w:type="dxa"/>
            <w:vAlign w:val="center"/>
          </w:tcPr>
          <w:p>
            <w:pPr>
              <w:spacing w:line="240" w:lineRule="auto"/>
              <w:jc w:val="center"/>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110-86-1</w:t>
            </w:r>
          </w:p>
        </w:tc>
      </w:tr>
    </w:tbl>
    <w:p>
      <w:pPr>
        <w:spacing w:before="100" w:beforeAutospacing="1" w:after="100" w:afterAutospacing="1" w:line="240" w:lineRule="auto"/>
        <w:jc w:val="center"/>
        <w:outlineLvl w:val="9"/>
        <w:rPr>
          <w:rFonts w:hint="eastAsia" w:ascii="宋体" w:hAnsi="宋体" w:eastAsia="宋体" w:cs="宋体"/>
          <w:b/>
          <w:bCs/>
          <w:sz w:val="21"/>
          <w:szCs w:val="21"/>
        </w:rPr>
      </w:pPr>
      <w:r>
        <w:rPr>
          <w:rFonts w:hint="eastAsia" w:ascii="宋体" w:hAnsi="宋体" w:eastAsia="宋体" w:cs="宋体"/>
          <w:b/>
          <w:sz w:val="21"/>
          <w:szCs w:val="21"/>
        </w:rPr>
        <w:t>第三部分</w:t>
      </w:r>
      <w:r>
        <w:rPr>
          <w:rFonts w:hint="eastAsia" w:ascii="宋体" w:hAnsi="宋体" w:eastAsia="宋体" w:cs="宋体"/>
          <w:b/>
          <w:sz w:val="21"/>
          <w:szCs w:val="21"/>
        </w:rPr>
        <w:t xml:space="preserve"> </w:t>
      </w:r>
      <w:r>
        <w:rPr>
          <w:rFonts w:hint="eastAsia" w:ascii="宋体" w:hAnsi="宋体" w:eastAsia="宋体" w:cs="宋体"/>
          <w:b/>
          <w:sz w:val="21"/>
          <w:szCs w:val="21"/>
        </w:rPr>
        <w:t xml:space="preserve"> 危险性概述</w:t>
      </w:r>
    </w:p>
    <w:p>
      <w:pPr>
        <w:spacing w:line="240" w:lineRule="auto"/>
        <w:outlineLvl w:val="9"/>
        <w:rPr>
          <w:rFonts w:hint="eastAsia" w:ascii="宋体" w:hAnsi="宋体" w:eastAsia="宋体" w:cs="宋体"/>
          <w:sz w:val="21"/>
          <w:szCs w:val="21"/>
          <w:lang w:eastAsia="zh-CN"/>
        </w:rPr>
      </w:pPr>
      <w:r>
        <w:rPr>
          <w:rFonts w:hint="eastAsia" w:ascii="宋体" w:hAnsi="宋体" w:eastAsia="宋体" w:cs="宋体"/>
          <w:b/>
          <w:bCs/>
          <w:sz w:val="21"/>
          <w:szCs w:val="21"/>
        </w:rPr>
        <w:t>危险性类别：</w:t>
      </w:r>
      <w:r>
        <w:rPr>
          <w:rFonts w:hint="eastAsia" w:ascii="宋体" w:hAnsi="宋体" w:eastAsia="宋体" w:cs="宋体"/>
          <w:color w:val="000000"/>
          <w:kern w:val="0"/>
          <w:sz w:val="21"/>
          <w:szCs w:val="21"/>
        </w:rPr>
        <w:t>易燃液体,类别2</w:t>
      </w:r>
    </w:p>
    <w:p>
      <w:pPr>
        <w:spacing w:line="240" w:lineRule="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侵入途径：</w:t>
      </w:r>
      <w:r>
        <w:rPr>
          <w:rFonts w:hint="eastAsia" w:ascii="宋体" w:hAnsi="宋体" w:eastAsia="宋体" w:cs="宋体"/>
          <w:sz w:val="21"/>
          <w:szCs w:val="21"/>
          <w:lang w:eastAsia="zh-CN"/>
        </w:rPr>
        <w:t>吸入、食入、经皮吸收</w:t>
      </w:r>
    </w:p>
    <w:p>
      <w:pPr>
        <w:spacing w:line="240" w:lineRule="auto"/>
        <w:outlineLvl w:val="9"/>
        <w:rPr>
          <w:rFonts w:hint="eastAsia" w:ascii="宋体" w:hAnsi="宋体" w:eastAsia="宋体" w:cs="宋体"/>
          <w:sz w:val="21"/>
          <w:szCs w:val="21"/>
          <w:lang w:eastAsia="zh-CN"/>
        </w:rPr>
      </w:pPr>
      <w:r>
        <w:rPr>
          <w:rFonts w:hint="eastAsia" w:ascii="宋体" w:hAnsi="宋体" w:eastAsia="宋体" w:cs="宋体"/>
          <w:b/>
          <w:bCs/>
          <w:sz w:val="21"/>
          <w:szCs w:val="21"/>
        </w:rPr>
        <w:t>健康危害：</w:t>
      </w:r>
      <w:r>
        <w:rPr>
          <w:rFonts w:hint="eastAsia" w:ascii="宋体" w:hAnsi="宋体" w:eastAsia="宋体" w:cs="宋体"/>
          <w:sz w:val="21"/>
          <w:szCs w:val="21"/>
          <w:lang w:eastAsia="zh-CN"/>
        </w:rPr>
        <w:t>有强烈刺激性；能麻醉中枢神经系统。</w:t>
      </w:r>
    </w:p>
    <w:p>
      <w:pPr>
        <w:spacing w:line="240" w:lineRule="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对眼及上呼吸道有刺激作用。高浓度吸入后，轻者有欣快或窒息感，继之出现抑郁、肌无力、呕吐；重者意识丧失、大小便失禁、强直性痉挛、血压下降。误服可致死。</w:t>
      </w:r>
    </w:p>
    <w:p>
      <w:pPr>
        <w:spacing w:line="240" w:lineRule="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慢性影响：长期吸入出现头晕、头痛、失眠、步态不稳及消化道功能紊乱。可发生肝肾损害。可致多发性神经病。对皮肤有刺激性，可引起皮炎，有时有光感性皮炎。</w:t>
      </w:r>
    </w:p>
    <w:p>
      <w:pPr>
        <w:spacing w:line="240" w:lineRule="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环境危害：</w:t>
      </w:r>
    </w:p>
    <w:p>
      <w:pPr>
        <w:spacing w:line="240" w:lineRule="auto"/>
        <w:outlineLvl w:val="9"/>
        <w:rPr>
          <w:rFonts w:hint="eastAsia" w:ascii="宋体" w:hAnsi="宋体" w:eastAsia="宋体" w:cs="宋体"/>
          <w:sz w:val="21"/>
          <w:szCs w:val="21"/>
          <w:lang w:eastAsia="zh-CN"/>
        </w:rPr>
      </w:pPr>
      <w:r>
        <w:rPr>
          <w:rFonts w:hint="eastAsia" w:ascii="宋体" w:hAnsi="宋体" w:eastAsia="宋体" w:cs="宋体"/>
          <w:b/>
          <w:bCs/>
          <w:sz w:val="21"/>
          <w:szCs w:val="21"/>
        </w:rPr>
        <w:t>燃爆危险：</w:t>
      </w:r>
      <w:r>
        <w:rPr>
          <w:rFonts w:hint="eastAsia" w:ascii="宋体" w:hAnsi="宋体" w:eastAsia="宋体" w:cs="宋体"/>
          <w:sz w:val="21"/>
          <w:szCs w:val="21"/>
          <w:lang w:eastAsia="zh-CN"/>
        </w:rPr>
        <w:t>本品易燃，具强刺激性。</w:t>
      </w:r>
    </w:p>
    <w:p>
      <w:pPr>
        <w:spacing w:before="100" w:beforeAutospacing="1" w:after="100" w:afterAutospacing="1" w:line="240" w:lineRule="auto"/>
        <w:jc w:val="center"/>
        <w:outlineLvl w:val="9"/>
        <w:rPr>
          <w:rFonts w:hint="eastAsia" w:ascii="宋体" w:hAnsi="宋体" w:eastAsia="宋体" w:cs="宋体"/>
          <w:b/>
          <w:sz w:val="21"/>
          <w:szCs w:val="21"/>
        </w:rPr>
      </w:pPr>
      <w:r>
        <w:rPr>
          <w:rFonts w:hint="eastAsia" w:ascii="宋体" w:hAnsi="宋体" w:eastAsia="宋体" w:cs="宋体"/>
          <w:b/>
          <w:sz w:val="21"/>
          <w:szCs w:val="21"/>
        </w:rPr>
        <w:t>第四部分</w:t>
      </w:r>
      <w:r>
        <w:rPr>
          <w:rFonts w:hint="eastAsia" w:ascii="宋体" w:hAnsi="宋体" w:eastAsia="宋体" w:cs="宋体"/>
          <w:b/>
          <w:sz w:val="21"/>
          <w:szCs w:val="21"/>
        </w:rPr>
        <w:t xml:space="preserve"> </w:t>
      </w:r>
      <w:r>
        <w:rPr>
          <w:rFonts w:hint="eastAsia" w:ascii="宋体" w:hAnsi="宋体" w:eastAsia="宋体" w:cs="宋体"/>
          <w:b/>
          <w:sz w:val="21"/>
          <w:szCs w:val="21"/>
        </w:rPr>
        <w:t xml:space="preserve"> 急 救 措 施</w:t>
      </w:r>
    </w:p>
    <w:p>
      <w:pPr>
        <w:spacing w:line="240" w:lineRule="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皮肤接触：</w:t>
      </w:r>
      <w:r>
        <w:rPr>
          <w:rFonts w:hint="eastAsia" w:ascii="宋体" w:hAnsi="宋体" w:eastAsia="宋体" w:cs="宋体"/>
          <w:sz w:val="21"/>
          <w:szCs w:val="21"/>
          <w:lang w:eastAsia="zh-CN"/>
        </w:rPr>
        <w:t>立即脱去污染的衣着，用大量流动清水冲洗。就医。</w:t>
      </w:r>
    </w:p>
    <w:p>
      <w:pPr>
        <w:spacing w:line="240" w:lineRule="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眼睛接触：</w:t>
      </w:r>
      <w:r>
        <w:rPr>
          <w:rFonts w:hint="eastAsia" w:ascii="宋体" w:hAnsi="宋体" w:eastAsia="宋体" w:cs="宋体"/>
          <w:sz w:val="21"/>
          <w:szCs w:val="21"/>
          <w:lang w:eastAsia="zh-CN"/>
        </w:rPr>
        <w:t>立即提起眼睑，用大量流动清水或生理盐水彻底冲洗至少15分钟。就医。</w:t>
      </w:r>
    </w:p>
    <w:p>
      <w:pPr>
        <w:spacing w:line="240" w:lineRule="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吸入：</w:t>
      </w:r>
      <w:r>
        <w:rPr>
          <w:rFonts w:hint="eastAsia" w:ascii="宋体" w:hAnsi="宋体" w:eastAsia="宋体" w:cs="宋体"/>
          <w:sz w:val="21"/>
          <w:szCs w:val="21"/>
          <w:lang w:eastAsia="zh-CN"/>
        </w:rPr>
        <w:t>迅速脱离现场至空气新鲜处。保持呼吸道通畅。如呼吸困难，给输氧。如呼吸停止，立即进行人工呼吸。就医。</w:t>
      </w:r>
    </w:p>
    <w:p>
      <w:pPr>
        <w:spacing w:line="240" w:lineRule="auto"/>
        <w:outlineLvl w:val="9"/>
        <w:rPr>
          <w:rFonts w:hint="eastAsia" w:ascii="宋体" w:hAnsi="宋体" w:eastAsia="宋体" w:cs="宋体"/>
          <w:sz w:val="21"/>
          <w:szCs w:val="21"/>
          <w:lang w:eastAsia="zh-CN"/>
        </w:rPr>
      </w:pPr>
      <w:r>
        <w:rPr>
          <w:rFonts w:hint="eastAsia" w:ascii="宋体" w:hAnsi="宋体" w:eastAsia="宋体" w:cs="宋体"/>
          <w:b/>
          <w:bCs/>
          <w:sz w:val="21"/>
          <w:szCs w:val="21"/>
        </w:rPr>
        <w:t>食入：</w:t>
      </w:r>
      <w:r>
        <w:rPr>
          <w:rFonts w:hint="eastAsia" w:ascii="宋体" w:hAnsi="宋体" w:eastAsia="宋体" w:cs="宋体"/>
          <w:sz w:val="21"/>
          <w:szCs w:val="21"/>
          <w:lang w:eastAsia="zh-CN"/>
        </w:rPr>
        <w:t>饮足量温水，催吐。洗胃，导泄。就医。</w:t>
      </w:r>
    </w:p>
    <w:p>
      <w:pPr>
        <w:spacing w:before="100" w:beforeAutospacing="1" w:after="100" w:afterAutospacing="1" w:line="240" w:lineRule="auto"/>
        <w:jc w:val="center"/>
        <w:outlineLvl w:val="9"/>
        <w:rPr>
          <w:rFonts w:hint="eastAsia" w:ascii="宋体" w:hAnsi="宋体" w:eastAsia="宋体" w:cs="宋体"/>
          <w:b/>
          <w:sz w:val="21"/>
          <w:szCs w:val="21"/>
        </w:rPr>
      </w:pPr>
      <w:r>
        <w:rPr>
          <w:rFonts w:hint="eastAsia" w:ascii="宋体" w:hAnsi="宋体" w:eastAsia="宋体" w:cs="宋体"/>
          <w:b/>
          <w:sz w:val="21"/>
          <w:szCs w:val="21"/>
        </w:rPr>
        <w:t>第五部分</w:t>
      </w:r>
      <w:r>
        <w:rPr>
          <w:rFonts w:hint="eastAsia" w:ascii="宋体" w:hAnsi="宋体" w:eastAsia="宋体" w:cs="宋体"/>
          <w:b/>
          <w:sz w:val="21"/>
          <w:szCs w:val="21"/>
        </w:rPr>
        <w:t xml:space="preserve"> </w:t>
      </w:r>
      <w:r>
        <w:rPr>
          <w:rFonts w:hint="eastAsia" w:ascii="宋体" w:hAnsi="宋体" w:eastAsia="宋体" w:cs="宋体"/>
          <w:b/>
          <w:sz w:val="21"/>
          <w:szCs w:val="21"/>
        </w:rPr>
        <w:t xml:space="preserve"> 消 防 措 施</w:t>
      </w:r>
    </w:p>
    <w:p>
      <w:pPr>
        <w:spacing w:line="240" w:lineRule="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危险特性：</w:t>
      </w:r>
      <w:r>
        <w:rPr>
          <w:rFonts w:hint="eastAsia" w:ascii="宋体" w:hAnsi="宋体" w:eastAsia="宋体" w:cs="宋体"/>
          <w:sz w:val="21"/>
          <w:szCs w:val="21"/>
          <w:lang w:eastAsia="zh-CN"/>
        </w:rPr>
        <w:t>其蒸气与空气可形成爆炸性混合物，遇明火、高热极易燃烧爆炸。与氧化剂接触猛烈反应。高温时分解，释出剧毒的氮氧化物气体。与硫酸、硝酸、铬酸、发烟硫酸、氯磺酸、顺丁烯二酸酐、高氯酸银等剧烈反应，有爆炸危险。流速过快，容易产生和积聚静电。其蒸气比空气重，能在较低处扩散到相当远的地方，遇火源会着火回燃。若遇高热，容器内压增大，有开裂和爆炸的危险。</w:t>
      </w:r>
    </w:p>
    <w:p>
      <w:pPr>
        <w:spacing w:line="240" w:lineRule="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有害燃烧产物：</w:t>
      </w:r>
      <w:r>
        <w:rPr>
          <w:rFonts w:hint="eastAsia" w:ascii="宋体" w:hAnsi="宋体" w:eastAsia="宋体" w:cs="宋体"/>
          <w:sz w:val="21"/>
          <w:szCs w:val="21"/>
          <w:lang w:eastAsia="zh-CN"/>
        </w:rPr>
        <w:t>一氧化碳、二氧化碳、氧化氮。</w:t>
      </w:r>
    </w:p>
    <w:p>
      <w:pPr>
        <w:spacing w:line="240" w:lineRule="auto"/>
        <w:outlineLvl w:val="9"/>
        <w:rPr>
          <w:rFonts w:hint="eastAsia" w:ascii="宋体" w:hAnsi="宋体" w:eastAsia="宋体" w:cs="宋体"/>
          <w:sz w:val="21"/>
          <w:szCs w:val="21"/>
          <w:lang w:eastAsia="zh-CN"/>
        </w:rPr>
      </w:pPr>
      <w:r>
        <w:rPr>
          <w:rFonts w:hint="eastAsia" w:ascii="宋体" w:hAnsi="宋体" w:eastAsia="宋体" w:cs="宋体"/>
          <w:b/>
          <w:bCs/>
          <w:sz w:val="21"/>
          <w:szCs w:val="21"/>
        </w:rPr>
        <w:t>灭火方法：</w:t>
      </w:r>
      <w:r>
        <w:rPr>
          <w:rFonts w:hint="eastAsia" w:ascii="宋体" w:hAnsi="宋体" w:eastAsia="宋体" w:cs="宋体"/>
          <w:sz w:val="21"/>
          <w:szCs w:val="21"/>
          <w:lang w:eastAsia="zh-CN"/>
        </w:rPr>
        <w:t>消防人员必须佩戴过滤式防毒面具(全面罩)或隔离式呼吸器、穿全身防火防毒服，在上风向灭火。尽可能将容器从火场移至空旷处。喷水保持火场容器冷却，直至灭火结束。处在火场中的容器若已变色或从安全泄压装置中产生声音，必须马上撤离。灭火剂：雾状水、泡沫、干粉、二氧化碳、砂土。禁止使用酸碱灭火剂。</w:t>
      </w:r>
    </w:p>
    <w:p>
      <w:pPr>
        <w:spacing w:before="100" w:beforeAutospacing="1" w:after="100" w:afterAutospacing="1" w:line="240" w:lineRule="auto"/>
        <w:jc w:val="center"/>
        <w:outlineLvl w:val="9"/>
        <w:rPr>
          <w:rFonts w:hint="eastAsia" w:ascii="宋体" w:hAnsi="宋体" w:eastAsia="宋体" w:cs="宋体"/>
          <w:b/>
          <w:sz w:val="21"/>
          <w:szCs w:val="21"/>
        </w:rPr>
      </w:pPr>
      <w:r>
        <w:rPr>
          <w:rFonts w:hint="eastAsia" w:ascii="宋体" w:hAnsi="宋体" w:eastAsia="宋体" w:cs="宋体"/>
          <w:b/>
          <w:sz w:val="21"/>
          <w:szCs w:val="21"/>
        </w:rPr>
        <w:t>第六部分</w:t>
      </w:r>
      <w:r>
        <w:rPr>
          <w:rFonts w:hint="eastAsia" w:ascii="宋体" w:hAnsi="宋体" w:eastAsia="宋体" w:cs="宋体"/>
          <w:b/>
          <w:sz w:val="21"/>
          <w:szCs w:val="21"/>
        </w:rPr>
        <w:t xml:space="preserve"> </w:t>
      </w:r>
      <w:r>
        <w:rPr>
          <w:rFonts w:hint="eastAsia" w:ascii="宋体" w:hAnsi="宋体" w:eastAsia="宋体" w:cs="宋体"/>
          <w:b/>
          <w:sz w:val="21"/>
          <w:szCs w:val="21"/>
        </w:rPr>
        <w:t xml:space="preserve"> 泄漏应急处理</w:t>
      </w:r>
    </w:p>
    <w:p>
      <w:pPr>
        <w:spacing w:line="240" w:lineRule="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应急处理：</w:t>
      </w:r>
      <w:r>
        <w:rPr>
          <w:rFonts w:hint="eastAsia" w:ascii="宋体" w:hAnsi="宋体" w:eastAsia="宋体" w:cs="宋体"/>
          <w:sz w:val="21"/>
          <w:szCs w:val="21"/>
          <w:lang w:eastAsia="zh-CN"/>
        </w:rPr>
        <w:t>迅速撤离泄漏污染区人员至安全区，并进行隔离，严格限制出入。切断火源。建议应急处理人员戴自给正压式呼吸器，穿防毒服。尽可能切断泄漏源。防止流入下水道、排洪沟等限制性空间。小量泄漏：用砂土、干燥石灰或苏打灰混合。也可以用大量水冲洗，洗水稀释后放入废水系统。大量泄漏：构筑围堤或挖坑收容。用泵转移至槽车或专用收集器内，回收或运至废物处理场所处置。</w:t>
      </w:r>
    </w:p>
    <w:p>
      <w:pPr>
        <w:spacing w:before="100" w:beforeAutospacing="1" w:after="100" w:afterAutospacing="1" w:line="240" w:lineRule="auto"/>
        <w:jc w:val="center"/>
        <w:outlineLvl w:val="9"/>
        <w:rPr>
          <w:rFonts w:hint="eastAsia" w:ascii="宋体" w:hAnsi="宋体" w:eastAsia="宋体" w:cs="宋体"/>
          <w:b/>
          <w:sz w:val="21"/>
          <w:szCs w:val="21"/>
        </w:rPr>
      </w:pPr>
      <w:r>
        <w:rPr>
          <w:rFonts w:hint="eastAsia" w:ascii="宋体" w:hAnsi="宋体" w:eastAsia="宋体" w:cs="宋体"/>
          <w:b/>
          <w:sz w:val="21"/>
          <w:szCs w:val="21"/>
        </w:rPr>
        <w:t>第七部分</w:t>
      </w:r>
      <w:r>
        <w:rPr>
          <w:rFonts w:hint="eastAsia" w:ascii="宋体" w:hAnsi="宋体" w:eastAsia="宋体" w:cs="宋体"/>
          <w:b/>
          <w:sz w:val="21"/>
          <w:szCs w:val="21"/>
        </w:rPr>
        <w:t xml:space="preserve"> </w:t>
      </w:r>
      <w:r>
        <w:rPr>
          <w:rFonts w:hint="eastAsia" w:ascii="宋体" w:hAnsi="宋体" w:eastAsia="宋体" w:cs="宋体"/>
          <w:b/>
          <w:sz w:val="21"/>
          <w:szCs w:val="21"/>
        </w:rPr>
        <w:t xml:space="preserve"> 操作处置与储存</w:t>
      </w:r>
    </w:p>
    <w:p>
      <w:pPr>
        <w:spacing w:line="240" w:lineRule="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操作注意事项：</w:t>
      </w:r>
      <w:r>
        <w:rPr>
          <w:rFonts w:hint="eastAsia" w:ascii="宋体" w:hAnsi="宋体" w:eastAsia="宋体" w:cs="宋体"/>
          <w:sz w:val="21"/>
          <w:szCs w:val="21"/>
          <w:lang w:eastAsia="zh-CN"/>
        </w:rPr>
        <w:t>密闭操作，局部排风。操作人员必须经过专门培训，严格遵守操作规程。建议操作人员佩戴自吸过滤式防毒面具（全面罩），穿胶布防毒衣，戴橡胶耐油手套。远离火种、热源，工作场所严禁吸烟。使用防爆型的通风系统和设备。防止蒸气泄漏到工作场所空气中。避免与氧化剂、酸类接触。灌装时应控制流速，且有接地装置，防止静电积聚。搬运时要轻装轻卸，防止包装及容器损坏。配备相应品种和数量的消防器材及泄漏应急处理设备。倒空的容器可能残留有害物。</w:t>
      </w:r>
    </w:p>
    <w:p>
      <w:pPr>
        <w:spacing w:line="240" w:lineRule="auto"/>
        <w:outlineLvl w:val="9"/>
        <w:rPr>
          <w:rFonts w:hint="eastAsia" w:ascii="宋体" w:hAnsi="宋体" w:eastAsia="宋体" w:cs="宋体"/>
          <w:sz w:val="21"/>
          <w:szCs w:val="21"/>
          <w:lang w:eastAsia="zh-CN"/>
        </w:rPr>
      </w:pPr>
      <w:r>
        <w:rPr>
          <w:rFonts w:hint="eastAsia" w:ascii="宋体" w:hAnsi="宋体" w:eastAsia="宋体" w:cs="宋体"/>
          <w:b/>
          <w:bCs/>
          <w:sz w:val="21"/>
          <w:szCs w:val="21"/>
        </w:rPr>
        <w:t>储存注意事项：</w:t>
      </w:r>
      <w:r>
        <w:rPr>
          <w:rFonts w:hint="eastAsia" w:ascii="宋体" w:hAnsi="宋体" w:eastAsia="宋体" w:cs="宋体"/>
          <w:sz w:val="21"/>
          <w:szCs w:val="21"/>
          <w:lang w:eastAsia="zh-CN"/>
        </w:rPr>
        <w:t>储存于阴凉、通风的库房。远离火种、热源。库温不宜超过30℃。应与氧化剂、酸类、食用化学品分开存放，切忌混储。采用防爆型照明、通风设施。禁止使用易产生火花的机械设备和工具。储区应备有泄漏应急处理设备和合适的收容材料。</w:t>
      </w:r>
    </w:p>
    <w:p>
      <w:pPr>
        <w:spacing w:before="100" w:beforeAutospacing="1" w:after="100" w:afterAutospacing="1" w:line="240" w:lineRule="auto"/>
        <w:jc w:val="center"/>
        <w:outlineLvl w:val="9"/>
        <w:rPr>
          <w:rFonts w:hint="eastAsia" w:ascii="宋体" w:hAnsi="宋体" w:eastAsia="宋体" w:cs="宋体"/>
          <w:b/>
          <w:sz w:val="21"/>
          <w:szCs w:val="21"/>
        </w:rPr>
      </w:pPr>
      <w:r>
        <w:rPr>
          <w:rFonts w:hint="eastAsia" w:ascii="宋体" w:hAnsi="宋体" w:eastAsia="宋体" w:cs="宋体"/>
          <w:b/>
          <w:sz w:val="21"/>
          <w:szCs w:val="21"/>
        </w:rPr>
        <w:t>第八部分</w:t>
      </w:r>
      <w:r>
        <w:rPr>
          <w:rFonts w:hint="eastAsia" w:ascii="宋体" w:hAnsi="宋体" w:eastAsia="宋体" w:cs="宋体"/>
          <w:b/>
          <w:sz w:val="21"/>
          <w:szCs w:val="21"/>
        </w:rPr>
        <w:t xml:space="preserve"> </w:t>
      </w:r>
      <w:r>
        <w:rPr>
          <w:rFonts w:hint="eastAsia" w:ascii="宋体" w:hAnsi="宋体" w:eastAsia="宋体" w:cs="宋体"/>
          <w:b/>
          <w:sz w:val="21"/>
          <w:szCs w:val="21"/>
        </w:rPr>
        <w:t xml:space="preserve"> 接触控制/个体防护</w:t>
      </w:r>
    </w:p>
    <w:tbl>
      <w:tblPr>
        <w:tblStyle w:val="4"/>
        <w:tblW w:w="8388" w:type="dxa"/>
        <w:tblInd w:w="0" w:type="dxa"/>
        <w:tblLayout w:type="fixed"/>
        <w:tblCellMar>
          <w:top w:w="0" w:type="dxa"/>
          <w:left w:w="108" w:type="dxa"/>
          <w:bottom w:w="0" w:type="dxa"/>
          <w:right w:w="108" w:type="dxa"/>
        </w:tblCellMar>
      </w:tblPr>
      <w:tblGrid>
        <w:gridCol w:w="468"/>
        <w:gridCol w:w="3780"/>
        <w:gridCol w:w="4140"/>
      </w:tblGrid>
      <w:tr>
        <w:tblPrEx>
          <w:tblLayout w:type="fixed"/>
          <w:tblCellMar>
            <w:top w:w="0" w:type="dxa"/>
            <w:left w:w="108" w:type="dxa"/>
            <w:bottom w:w="0" w:type="dxa"/>
            <w:right w:w="108" w:type="dxa"/>
          </w:tblCellMar>
        </w:tblPrEx>
        <w:tc>
          <w:tcPr>
            <w:tcW w:w="8388" w:type="dxa"/>
            <w:gridSpan w:val="3"/>
            <w:vAlign w:val="top"/>
          </w:tcPr>
          <w:p>
            <w:pPr>
              <w:spacing w:line="240" w:lineRule="auto"/>
              <w:outlineLvl w:val="9"/>
              <w:rPr>
                <w:rFonts w:hint="eastAsia" w:ascii="宋体" w:hAnsi="宋体" w:eastAsia="宋体" w:cs="宋体"/>
                <w:b/>
                <w:bCs/>
                <w:sz w:val="21"/>
                <w:szCs w:val="21"/>
              </w:rPr>
            </w:pPr>
            <w:r>
              <w:rPr>
                <w:rFonts w:hint="eastAsia" w:ascii="宋体" w:hAnsi="宋体" w:eastAsia="宋体" w:cs="宋体"/>
                <w:b/>
                <w:bCs/>
                <w:sz w:val="21"/>
                <w:szCs w:val="21"/>
              </w:rPr>
              <w:t>职业接触限值：</w:t>
            </w:r>
          </w:p>
        </w:tc>
      </w:tr>
      <w:tr>
        <w:tblPrEx>
          <w:tblLayout w:type="fixed"/>
          <w:tblCellMar>
            <w:top w:w="0" w:type="dxa"/>
            <w:left w:w="108" w:type="dxa"/>
            <w:bottom w:w="0" w:type="dxa"/>
            <w:right w:w="108" w:type="dxa"/>
          </w:tblCellMar>
        </w:tblPrEx>
        <w:tc>
          <w:tcPr>
            <w:tcW w:w="468" w:type="dxa"/>
            <w:vAlign w:val="top"/>
          </w:tcPr>
          <w:p>
            <w:pPr>
              <w:spacing w:line="240" w:lineRule="auto"/>
              <w:outlineLvl w:val="9"/>
              <w:rPr>
                <w:rFonts w:hint="eastAsia" w:ascii="宋体" w:hAnsi="宋体" w:eastAsia="宋体" w:cs="宋体"/>
                <w:sz w:val="21"/>
                <w:szCs w:val="21"/>
              </w:rPr>
            </w:pPr>
          </w:p>
        </w:tc>
        <w:tc>
          <w:tcPr>
            <w:tcW w:w="3780" w:type="dxa"/>
            <w:vAlign w:val="top"/>
          </w:tcPr>
          <w:p>
            <w:pPr>
              <w:spacing w:line="240" w:lineRule="auto"/>
              <w:outlineLvl w:val="9"/>
              <w:rPr>
                <w:rFonts w:hint="eastAsia" w:ascii="宋体" w:hAnsi="宋体" w:eastAsia="宋体" w:cs="宋体"/>
                <w:sz w:val="21"/>
                <w:szCs w:val="21"/>
                <w:lang w:eastAsia="zh-CN"/>
              </w:rPr>
            </w:pPr>
            <w:r>
              <w:rPr>
                <w:rFonts w:hint="eastAsia" w:ascii="宋体" w:hAnsi="宋体" w:eastAsia="宋体" w:cs="宋体"/>
                <w:b/>
                <w:bCs/>
                <w:sz w:val="21"/>
                <w:szCs w:val="21"/>
              </w:rPr>
              <w:t>中国</w:t>
            </w:r>
            <w:r>
              <w:rPr>
                <w:rFonts w:hint="eastAsia" w:ascii="宋体" w:hAnsi="宋体" w:eastAsia="宋体" w:cs="宋体"/>
                <w:b/>
                <w:bCs/>
                <w:sz w:val="21"/>
                <w:szCs w:val="21"/>
              </w:rPr>
              <w:t>MAC(mg/m</w:t>
            </w:r>
            <w:r>
              <w:rPr>
                <w:rFonts w:hint="eastAsia" w:ascii="宋体" w:hAnsi="宋体" w:eastAsia="宋体" w:cs="宋体"/>
                <w:b/>
                <w:bCs/>
                <w:sz w:val="21"/>
                <w:szCs w:val="21"/>
                <w:vertAlign w:val="superscript"/>
              </w:rPr>
              <w:t>3</w:t>
            </w:r>
            <w:r>
              <w:rPr>
                <w:rFonts w:hint="eastAsia" w:ascii="宋体" w:hAnsi="宋体" w:eastAsia="宋体" w:cs="宋体"/>
                <w:b/>
                <w:bCs/>
                <w:sz w:val="21"/>
                <w:szCs w:val="21"/>
              </w:rPr>
              <w:t>)</w:t>
            </w:r>
            <w:r>
              <w:rPr>
                <w:rFonts w:hint="eastAsia" w:ascii="宋体" w:hAnsi="宋体" w:eastAsia="宋体" w:cs="宋体"/>
                <w:b/>
                <w:bCs/>
                <w:sz w:val="21"/>
                <w:szCs w:val="21"/>
              </w:rPr>
              <w:t>：</w:t>
            </w:r>
            <w:r>
              <w:rPr>
                <w:rFonts w:hint="eastAsia" w:ascii="宋体" w:hAnsi="宋体" w:eastAsia="宋体" w:cs="宋体"/>
                <w:sz w:val="21"/>
                <w:szCs w:val="21"/>
                <w:lang w:eastAsia="zh-CN"/>
              </w:rPr>
              <w:t>4</w:t>
            </w:r>
          </w:p>
        </w:tc>
        <w:tc>
          <w:tcPr>
            <w:tcW w:w="4140" w:type="dxa"/>
            <w:vAlign w:val="top"/>
          </w:tcPr>
          <w:p>
            <w:pPr>
              <w:spacing w:line="240" w:lineRule="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前苏联</w:t>
            </w:r>
            <w:r>
              <w:rPr>
                <w:rFonts w:hint="eastAsia" w:ascii="宋体" w:hAnsi="宋体" w:eastAsia="宋体" w:cs="宋体"/>
                <w:b/>
                <w:bCs/>
                <w:sz w:val="21"/>
                <w:szCs w:val="21"/>
              </w:rPr>
              <w:t>MAC(mg/m</w:t>
            </w:r>
            <w:r>
              <w:rPr>
                <w:rFonts w:hint="eastAsia" w:ascii="宋体" w:hAnsi="宋体" w:eastAsia="宋体" w:cs="宋体"/>
                <w:b/>
                <w:bCs/>
                <w:sz w:val="21"/>
                <w:szCs w:val="21"/>
                <w:vertAlign w:val="superscript"/>
              </w:rPr>
              <w:t>3</w:t>
            </w:r>
            <w:r>
              <w:rPr>
                <w:rFonts w:hint="eastAsia" w:ascii="宋体" w:hAnsi="宋体" w:eastAsia="宋体" w:cs="宋体"/>
                <w:b/>
                <w:bCs/>
                <w:sz w:val="21"/>
                <w:szCs w:val="21"/>
              </w:rPr>
              <w:t>)</w:t>
            </w:r>
            <w:r>
              <w:rPr>
                <w:rFonts w:hint="eastAsia" w:ascii="宋体" w:hAnsi="宋体" w:eastAsia="宋体" w:cs="宋体"/>
                <w:sz w:val="21"/>
                <w:szCs w:val="21"/>
              </w:rPr>
              <w:t>：</w:t>
            </w:r>
            <w:r>
              <w:rPr>
                <w:rFonts w:hint="eastAsia" w:ascii="宋体" w:hAnsi="宋体" w:eastAsia="宋体" w:cs="宋体"/>
                <w:sz w:val="21"/>
                <w:szCs w:val="21"/>
                <w:lang w:eastAsia="zh-CN"/>
              </w:rPr>
              <w:t>5</w:t>
            </w:r>
          </w:p>
        </w:tc>
      </w:tr>
      <w:tr>
        <w:tblPrEx>
          <w:tblLayout w:type="fixed"/>
          <w:tblCellMar>
            <w:top w:w="0" w:type="dxa"/>
            <w:left w:w="108" w:type="dxa"/>
            <w:bottom w:w="0" w:type="dxa"/>
            <w:right w:w="108" w:type="dxa"/>
          </w:tblCellMar>
        </w:tblPrEx>
        <w:tc>
          <w:tcPr>
            <w:tcW w:w="468" w:type="dxa"/>
            <w:vAlign w:val="top"/>
          </w:tcPr>
          <w:p>
            <w:pPr>
              <w:spacing w:line="240" w:lineRule="auto"/>
              <w:outlineLvl w:val="9"/>
              <w:rPr>
                <w:rFonts w:hint="eastAsia" w:ascii="宋体" w:hAnsi="宋体" w:eastAsia="宋体" w:cs="宋体"/>
                <w:sz w:val="21"/>
                <w:szCs w:val="21"/>
              </w:rPr>
            </w:pPr>
          </w:p>
        </w:tc>
        <w:tc>
          <w:tcPr>
            <w:tcW w:w="7920" w:type="dxa"/>
            <w:gridSpan w:val="2"/>
            <w:vAlign w:val="top"/>
          </w:tcPr>
          <w:p>
            <w:pPr>
              <w:spacing w:line="240" w:lineRule="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TLVTN</w:t>
            </w:r>
            <w:r>
              <w:rPr>
                <w:rFonts w:hint="eastAsia" w:ascii="宋体" w:hAnsi="宋体" w:eastAsia="宋体" w:cs="宋体"/>
                <w:b/>
                <w:bCs/>
                <w:sz w:val="21"/>
                <w:szCs w:val="21"/>
              </w:rPr>
              <w:t>：</w:t>
            </w:r>
            <w:r>
              <w:rPr>
                <w:rFonts w:hint="eastAsia" w:ascii="宋体" w:hAnsi="宋体" w:eastAsia="宋体" w:cs="宋体"/>
                <w:sz w:val="21"/>
                <w:szCs w:val="21"/>
                <w:lang w:eastAsia="zh-CN"/>
              </w:rPr>
              <w:t>OSHA 5ppm,16mg/m3; ACGIH 5ppm,16mg/m3</w:t>
            </w:r>
          </w:p>
        </w:tc>
      </w:tr>
      <w:tr>
        <w:tblPrEx>
          <w:tblLayout w:type="fixed"/>
          <w:tblCellMar>
            <w:top w:w="0" w:type="dxa"/>
            <w:left w:w="108" w:type="dxa"/>
            <w:bottom w:w="0" w:type="dxa"/>
            <w:right w:w="108" w:type="dxa"/>
          </w:tblCellMar>
        </w:tblPrEx>
        <w:tc>
          <w:tcPr>
            <w:tcW w:w="468" w:type="dxa"/>
            <w:vAlign w:val="top"/>
          </w:tcPr>
          <w:p>
            <w:pPr>
              <w:spacing w:line="240" w:lineRule="auto"/>
              <w:outlineLvl w:val="9"/>
              <w:rPr>
                <w:rFonts w:hint="eastAsia" w:ascii="宋体" w:hAnsi="宋体" w:eastAsia="宋体" w:cs="宋体"/>
                <w:sz w:val="21"/>
                <w:szCs w:val="21"/>
              </w:rPr>
            </w:pPr>
          </w:p>
        </w:tc>
        <w:tc>
          <w:tcPr>
            <w:tcW w:w="7920" w:type="dxa"/>
            <w:gridSpan w:val="2"/>
            <w:vAlign w:val="top"/>
          </w:tcPr>
          <w:p>
            <w:pPr>
              <w:spacing w:line="240" w:lineRule="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TLVWN</w:t>
            </w:r>
            <w:r>
              <w:rPr>
                <w:rFonts w:hint="eastAsia" w:ascii="宋体" w:hAnsi="宋体" w:eastAsia="宋体" w:cs="宋体"/>
                <w:b/>
                <w:bCs/>
                <w:sz w:val="21"/>
                <w:szCs w:val="21"/>
              </w:rPr>
              <w:t>：</w:t>
            </w:r>
            <w:r>
              <w:rPr>
                <w:rFonts w:hint="eastAsia" w:ascii="宋体" w:hAnsi="宋体" w:eastAsia="宋体" w:cs="宋体"/>
                <w:sz w:val="21"/>
                <w:szCs w:val="21"/>
                <w:lang w:eastAsia="zh-CN"/>
              </w:rPr>
              <w:t>未制定标准</w:t>
            </w:r>
          </w:p>
        </w:tc>
      </w:tr>
    </w:tbl>
    <w:p>
      <w:pPr>
        <w:spacing w:line="240" w:lineRule="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监测方法：</w:t>
      </w:r>
      <w:r>
        <w:rPr>
          <w:rFonts w:hint="eastAsia" w:ascii="宋体" w:hAnsi="宋体" w:eastAsia="宋体" w:cs="宋体"/>
          <w:sz w:val="21"/>
          <w:szCs w:val="21"/>
          <w:lang w:eastAsia="zh-CN"/>
        </w:rPr>
        <w:t>巴比妥酸分光光度法；溶剂解吸－气相色谱法</w:t>
      </w:r>
    </w:p>
    <w:p>
      <w:pPr>
        <w:spacing w:line="240" w:lineRule="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工程控制：</w:t>
      </w:r>
      <w:r>
        <w:rPr>
          <w:rFonts w:hint="eastAsia" w:ascii="宋体" w:hAnsi="宋体" w:eastAsia="宋体" w:cs="宋体"/>
          <w:sz w:val="21"/>
          <w:szCs w:val="21"/>
          <w:lang w:eastAsia="zh-CN"/>
        </w:rPr>
        <w:t>密闭操作，局部排风。提供安全淋浴和洗眼设备。</w:t>
      </w:r>
    </w:p>
    <w:p>
      <w:pPr>
        <w:spacing w:line="240" w:lineRule="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呼吸系统防护：</w:t>
      </w:r>
      <w:r>
        <w:rPr>
          <w:rFonts w:hint="eastAsia" w:ascii="宋体" w:hAnsi="宋体" w:eastAsia="宋体" w:cs="宋体"/>
          <w:sz w:val="21"/>
          <w:szCs w:val="21"/>
          <w:lang w:eastAsia="zh-CN"/>
        </w:rPr>
        <w:t>空气中浓度超标时，必须佩戴自吸过滤式防毒面具（全面罩）。紧急事态抢救或撤离时，应该佩戴空气呼吸器。</w:t>
      </w:r>
    </w:p>
    <w:p>
      <w:pPr>
        <w:spacing w:line="240" w:lineRule="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眼睛防护：</w:t>
      </w:r>
      <w:r>
        <w:rPr>
          <w:rFonts w:hint="eastAsia" w:ascii="宋体" w:hAnsi="宋体" w:eastAsia="宋体" w:cs="宋体"/>
          <w:sz w:val="21"/>
          <w:szCs w:val="21"/>
          <w:lang w:eastAsia="zh-CN"/>
        </w:rPr>
        <w:t>呼吸系统防护中已作防护。</w:t>
      </w:r>
    </w:p>
    <w:p>
      <w:pPr>
        <w:spacing w:line="240" w:lineRule="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身体防护：</w:t>
      </w:r>
      <w:r>
        <w:rPr>
          <w:rFonts w:hint="eastAsia" w:ascii="宋体" w:hAnsi="宋体" w:eastAsia="宋体" w:cs="宋体"/>
          <w:sz w:val="21"/>
          <w:szCs w:val="21"/>
          <w:lang w:eastAsia="zh-CN"/>
        </w:rPr>
        <w:t>穿胶布防毒衣。</w:t>
      </w:r>
    </w:p>
    <w:p>
      <w:pPr>
        <w:spacing w:line="240" w:lineRule="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手防护：</w:t>
      </w:r>
      <w:r>
        <w:rPr>
          <w:rFonts w:hint="eastAsia" w:ascii="宋体" w:hAnsi="宋体" w:eastAsia="宋体" w:cs="宋体"/>
          <w:sz w:val="21"/>
          <w:szCs w:val="21"/>
          <w:lang w:eastAsia="zh-CN"/>
        </w:rPr>
        <w:t>戴橡胶耐油手套。</w:t>
      </w:r>
    </w:p>
    <w:p>
      <w:pPr>
        <w:spacing w:line="240" w:lineRule="auto"/>
        <w:outlineLvl w:val="9"/>
        <w:rPr>
          <w:rFonts w:hint="eastAsia" w:ascii="宋体" w:hAnsi="宋体" w:eastAsia="宋体" w:cs="宋体"/>
          <w:sz w:val="21"/>
          <w:szCs w:val="21"/>
          <w:lang w:eastAsia="zh-CN"/>
        </w:rPr>
      </w:pPr>
      <w:r>
        <w:rPr>
          <w:rFonts w:hint="eastAsia" w:ascii="宋体" w:hAnsi="宋体" w:eastAsia="宋体" w:cs="宋体"/>
          <w:b/>
          <w:bCs/>
          <w:sz w:val="21"/>
          <w:szCs w:val="21"/>
        </w:rPr>
        <w:t>其它防护：</w:t>
      </w:r>
      <w:r>
        <w:rPr>
          <w:rFonts w:hint="eastAsia" w:ascii="宋体" w:hAnsi="宋体" w:eastAsia="宋体" w:cs="宋体"/>
          <w:sz w:val="21"/>
          <w:szCs w:val="21"/>
          <w:lang w:eastAsia="zh-CN"/>
        </w:rPr>
        <w:t>工作现场禁止吸烟、进食和饮水。工作完毕，淋浴更衣。实行就业前和定期的体检。</w:t>
      </w:r>
    </w:p>
    <w:p>
      <w:pPr>
        <w:spacing w:before="100" w:beforeAutospacing="1" w:after="100" w:afterAutospacing="1" w:line="240" w:lineRule="auto"/>
        <w:jc w:val="center"/>
        <w:outlineLvl w:val="9"/>
        <w:rPr>
          <w:rFonts w:hint="eastAsia" w:ascii="宋体" w:hAnsi="宋体" w:eastAsia="宋体" w:cs="宋体"/>
          <w:b/>
          <w:sz w:val="21"/>
          <w:szCs w:val="21"/>
        </w:rPr>
      </w:pPr>
      <w:r>
        <w:rPr>
          <w:rFonts w:hint="eastAsia" w:ascii="宋体" w:hAnsi="宋体" w:eastAsia="宋体" w:cs="宋体"/>
          <w:b/>
          <w:sz w:val="21"/>
          <w:szCs w:val="21"/>
        </w:rPr>
        <w:t>第九部分</w:t>
      </w:r>
      <w:r>
        <w:rPr>
          <w:rFonts w:hint="eastAsia" w:ascii="宋体" w:hAnsi="宋体" w:eastAsia="宋体" w:cs="宋体"/>
          <w:b/>
          <w:sz w:val="21"/>
          <w:szCs w:val="21"/>
        </w:rPr>
        <w:t xml:space="preserve"> </w:t>
      </w:r>
      <w:r>
        <w:rPr>
          <w:rFonts w:hint="eastAsia" w:ascii="宋体" w:hAnsi="宋体" w:eastAsia="宋体" w:cs="宋体"/>
          <w:b/>
          <w:sz w:val="21"/>
          <w:szCs w:val="21"/>
        </w:rPr>
        <w:t xml:space="preserve"> 理 化 特 性</w:t>
      </w:r>
    </w:p>
    <w:tbl>
      <w:tblPr>
        <w:tblStyle w:val="4"/>
        <w:tblW w:w="8522" w:type="dxa"/>
        <w:tblInd w:w="0" w:type="dxa"/>
        <w:tblLayout w:type="fixed"/>
        <w:tblCellMar>
          <w:top w:w="0" w:type="dxa"/>
          <w:left w:w="108" w:type="dxa"/>
          <w:bottom w:w="0" w:type="dxa"/>
          <w:right w:w="108" w:type="dxa"/>
        </w:tblCellMar>
      </w:tblPr>
      <w:tblGrid>
        <w:gridCol w:w="4260"/>
        <w:gridCol w:w="4262"/>
      </w:tblGrid>
      <w:tr>
        <w:tblPrEx>
          <w:tblLayout w:type="fixed"/>
          <w:tblCellMar>
            <w:top w:w="0" w:type="dxa"/>
            <w:left w:w="108" w:type="dxa"/>
            <w:bottom w:w="0" w:type="dxa"/>
            <w:right w:w="108" w:type="dxa"/>
          </w:tblCellMar>
        </w:tblPrEx>
        <w:tc>
          <w:tcPr>
            <w:tcW w:w="8522" w:type="dxa"/>
            <w:gridSpan w:val="2"/>
            <w:vAlign w:val="center"/>
          </w:tcPr>
          <w:p>
            <w:pPr>
              <w:spacing w:line="240" w:lineRule="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外观与性状</w:t>
            </w:r>
            <w:r>
              <w:rPr>
                <w:rFonts w:hint="eastAsia" w:ascii="宋体" w:hAnsi="宋体" w:eastAsia="宋体" w:cs="宋体"/>
                <w:b/>
                <w:bCs/>
                <w:sz w:val="21"/>
                <w:szCs w:val="21"/>
              </w:rPr>
              <w:t>：</w:t>
            </w:r>
            <w:r>
              <w:rPr>
                <w:rFonts w:hint="eastAsia" w:ascii="宋体" w:hAnsi="宋体" w:eastAsia="宋体" w:cs="宋体"/>
                <w:sz w:val="21"/>
                <w:szCs w:val="21"/>
                <w:lang w:eastAsia="zh-CN"/>
              </w:rPr>
              <w:t>无色或微黄色液体，有恶臭。</w:t>
            </w:r>
          </w:p>
        </w:tc>
      </w:tr>
      <w:tr>
        <w:tblPrEx>
          <w:tblLayout w:type="fixed"/>
          <w:tblCellMar>
            <w:top w:w="0" w:type="dxa"/>
            <w:left w:w="108" w:type="dxa"/>
            <w:bottom w:w="0" w:type="dxa"/>
            <w:right w:w="108" w:type="dxa"/>
          </w:tblCellMar>
        </w:tblPrEx>
        <w:tc>
          <w:tcPr>
            <w:tcW w:w="4260" w:type="dxa"/>
            <w:vAlign w:val="top"/>
          </w:tcPr>
          <w:p>
            <w:pPr>
              <w:spacing w:line="240" w:lineRule="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pH</w:t>
            </w:r>
            <w:r>
              <w:rPr>
                <w:rFonts w:hint="eastAsia" w:ascii="宋体" w:hAnsi="宋体" w:eastAsia="宋体" w:cs="宋体"/>
                <w:b/>
                <w:bCs/>
                <w:sz w:val="21"/>
                <w:szCs w:val="21"/>
              </w:rPr>
              <w:t>值：</w:t>
            </w:r>
            <w:r>
              <w:rPr>
                <w:rFonts w:hint="eastAsia" w:ascii="宋体" w:hAnsi="宋体" w:eastAsia="宋体" w:cs="宋体"/>
                <w:sz w:val="21"/>
                <w:szCs w:val="21"/>
                <w:lang w:eastAsia="zh-CN"/>
              </w:rPr>
              <w:t>无意义</w:t>
            </w:r>
          </w:p>
        </w:tc>
        <w:tc>
          <w:tcPr>
            <w:tcW w:w="4262" w:type="dxa"/>
            <w:vAlign w:val="top"/>
          </w:tcPr>
          <w:p>
            <w:pPr>
              <w:spacing w:line="240" w:lineRule="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熔点（℃）：</w:t>
            </w:r>
            <w:r>
              <w:rPr>
                <w:rFonts w:hint="eastAsia" w:ascii="宋体" w:hAnsi="宋体" w:eastAsia="宋体" w:cs="宋体"/>
                <w:sz w:val="21"/>
                <w:szCs w:val="21"/>
                <w:lang w:eastAsia="zh-CN"/>
              </w:rPr>
              <w:t>-42</w:t>
            </w:r>
          </w:p>
        </w:tc>
      </w:tr>
      <w:tr>
        <w:tblPrEx>
          <w:tblLayout w:type="fixed"/>
          <w:tblCellMar>
            <w:top w:w="0" w:type="dxa"/>
            <w:left w:w="108" w:type="dxa"/>
            <w:bottom w:w="0" w:type="dxa"/>
            <w:right w:w="108" w:type="dxa"/>
          </w:tblCellMar>
        </w:tblPrEx>
        <w:tc>
          <w:tcPr>
            <w:tcW w:w="4260" w:type="dxa"/>
            <w:vAlign w:val="top"/>
          </w:tcPr>
          <w:p>
            <w:pPr>
              <w:spacing w:line="240" w:lineRule="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相对密度（水＝1）：</w:t>
            </w:r>
            <w:r>
              <w:rPr>
                <w:rFonts w:hint="eastAsia" w:ascii="宋体" w:hAnsi="宋体" w:eastAsia="宋体" w:cs="宋体"/>
                <w:sz w:val="21"/>
                <w:szCs w:val="21"/>
                <w:lang w:eastAsia="zh-CN"/>
              </w:rPr>
              <w:t>0.98</w:t>
            </w:r>
          </w:p>
        </w:tc>
        <w:tc>
          <w:tcPr>
            <w:tcW w:w="4262" w:type="dxa"/>
            <w:vAlign w:val="top"/>
          </w:tcPr>
          <w:p>
            <w:pPr>
              <w:spacing w:line="240" w:lineRule="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沸点（℃）：</w:t>
            </w:r>
            <w:r>
              <w:rPr>
                <w:rFonts w:hint="eastAsia" w:ascii="宋体" w:hAnsi="宋体" w:eastAsia="宋体" w:cs="宋体"/>
                <w:sz w:val="21"/>
                <w:szCs w:val="21"/>
                <w:lang w:eastAsia="zh-CN"/>
              </w:rPr>
              <w:t>115.3</w:t>
            </w:r>
          </w:p>
        </w:tc>
      </w:tr>
      <w:tr>
        <w:tblPrEx>
          <w:tblLayout w:type="fixed"/>
          <w:tblCellMar>
            <w:top w:w="0" w:type="dxa"/>
            <w:left w:w="108" w:type="dxa"/>
            <w:bottom w:w="0" w:type="dxa"/>
            <w:right w:w="108" w:type="dxa"/>
          </w:tblCellMar>
        </w:tblPrEx>
        <w:tc>
          <w:tcPr>
            <w:tcW w:w="4260" w:type="dxa"/>
            <w:vAlign w:val="top"/>
          </w:tcPr>
          <w:p>
            <w:pPr>
              <w:spacing w:line="240" w:lineRule="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相对蒸气密度（空气＝1）：</w:t>
            </w:r>
            <w:r>
              <w:rPr>
                <w:rFonts w:hint="eastAsia" w:ascii="宋体" w:hAnsi="宋体" w:eastAsia="宋体" w:cs="宋体"/>
                <w:sz w:val="21"/>
                <w:szCs w:val="21"/>
                <w:lang w:eastAsia="zh-CN"/>
              </w:rPr>
              <w:t>2.73</w:t>
            </w:r>
          </w:p>
        </w:tc>
        <w:tc>
          <w:tcPr>
            <w:tcW w:w="4262" w:type="dxa"/>
            <w:vAlign w:val="top"/>
          </w:tcPr>
          <w:p>
            <w:pPr>
              <w:spacing w:line="240" w:lineRule="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辛醇/水分配系数：</w:t>
            </w:r>
            <w:r>
              <w:rPr>
                <w:rFonts w:hint="eastAsia" w:ascii="宋体" w:hAnsi="宋体" w:eastAsia="宋体" w:cs="宋体"/>
                <w:sz w:val="21"/>
                <w:szCs w:val="21"/>
                <w:lang w:eastAsia="zh-CN"/>
              </w:rPr>
              <w:t>无资料</w:t>
            </w:r>
          </w:p>
        </w:tc>
      </w:tr>
      <w:tr>
        <w:tblPrEx>
          <w:tblLayout w:type="fixed"/>
          <w:tblCellMar>
            <w:top w:w="0" w:type="dxa"/>
            <w:left w:w="108" w:type="dxa"/>
            <w:bottom w:w="0" w:type="dxa"/>
            <w:right w:w="108" w:type="dxa"/>
          </w:tblCellMar>
        </w:tblPrEx>
        <w:tc>
          <w:tcPr>
            <w:tcW w:w="4260" w:type="dxa"/>
            <w:vAlign w:val="top"/>
          </w:tcPr>
          <w:p>
            <w:pPr>
              <w:spacing w:line="240" w:lineRule="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闪点（</w:t>
            </w:r>
            <w:r>
              <w:rPr>
                <w:rFonts w:hint="eastAsia" w:ascii="宋体" w:hAnsi="宋体" w:eastAsia="宋体" w:cs="宋体"/>
                <w:b/>
                <w:bCs/>
                <w:sz w:val="21"/>
                <w:szCs w:val="21"/>
              </w:rPr>
              <w:t>℃</w:t>
            </w:r>
            <w:r>
              <w:rPr>
                <w:rFonts w:hint="eastAsia" w:ascii="宋体" w:hAnsi="宋体" w:eastAsia="宋体" w:cs="宋体"/>
                <w:b/>
                <w:bCs/>
                <w:sz w:val="21"/>
                <w:szCs w:val="21"/>
              </w:rPr>
              <w:t>）：</w:t>
            </w:r>
            <w:r>
              <w:rPr>
                <w:rFonts w:hint="eastAsia" w:ascii="宋体" w:hAnsi="宋体" w:eastAsia="宋体" w:cs="宋体"/>
                <w:sz w:val="21"/>
                <w:szCs w:val="21"/>
                <w:lang w:eastAsia="zh-CN"/>
              </w:rPr>
              <w:t>17</w:t>
            </w:r>
          </w:p>
        </w:tc>
        <w:tc>
          <w:tcPr>
            <w:tcW w:w="4262" w:type="dxa"/>
            <w:vAlign w:val="top"/>
          </w:tcPr>
          <w:p>
            <w:pPr>
              <w:spacing w:line="240" w:lineRule="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引燃温度（℃）：</w:t>
            </w:r>
            <w:r>
              <w:rPr>
                <w:rFonts w:hint="eastAsia" w:ascii="宋体" w:hAnsi="宋体" w:eastAsia="宋体" w:cs="宋体"/>
                <w:sz w:val="21"/>
                <w:szCs w:val="21"/>
                <w:lang w:eastAsia="zh-CN"/>
              </w:rPr>
              <w:t>482</w:t>
            </w:r>
          </w:p>
        </w:tc>
      </w:tr>
      <w:tr>
        <w:tblPrEx>
          <w:tblLayout w:type="fixed"/>
          <w:tblCellMar>
            <w:top w:w="0" w:type="dxa"/>
            <w:left w:w="108" w:type="dxa"/>
            <w:bottom w:w="0" w:type="dxa"/>
            <w:right w:w="108" w:type="dxa"/>
          </w:tblCellMar>
        </w:tblPrEx>
        <w:tc>
          <w:tcPr>
            <w:tcW w:w="4260" w:type="dxa"/>
            <w:vAlign w:val="top"/>
          </w:tcPr>
          <w:p>
            <w:pPr>
              <w:spacing w:line="240" w:lineRule="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爆炸上限[％（V/V）]：</w:t>
            </w:r>
            <w:r>
              <w:rPr>
                <w:rFonts w:hint="eastAsia" w:ascii="宋体" w:hAnsi="宋体" w:eastAsia="宋体" w:cs="宋体"/>
                <w:sz w:val="21"/>
                <w:szCs w:val="21"/>
                <w:lang w:eastAsia="zh-CN"/>
              </w:rPr>
              <w:t>12.4</w:t>
            </w:r>
          </w:p>
        </w:tc>
        <w:tc>
          <w:tcPr>
            <w:tcW w:w="4262" w:type="dxa"/>
            <w:vAlign w:val="top"/>
          </w:tcPr>
          <w:p>
            <w:pPr>
              <w:spacing w:line="240" w:lineRule="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爆炸下限[％（V/V）]：</w:t>
            </w:r>
            <w:r>
              <w:rPr>
                <w:rFonts w:hint="eastAsia" w:ascii="宋体" w:hAnsi="宋体" w:eastAsia="宋体" w:cs="宋体"/>
                <w:sz w:val="21"/>
                <w:szCs w:val="21"/>
                <w:lang w:eastAsia="zh-CN"/>
              </w:rPr>
              <w:t>1.7</w:t>
            </w:r>
          </w:p>
        </w:tc>
      </w:tr>
      <w:tr>
        <w:tblPrEx>
          <w:tblLayout w:type="fixed"/>
          <w:tblCellMar>
            <w:top w:w="0" w:type="dxa"/>
            <w:left w:w="108" w:type="dxa"/>
            <w:bottom w:w="0" w:type="dxa"/>
            <w:right w:w="108" w:type="dxa"/>
          </w:tblCellMar>
        </w:tblPrEx>
        <w:tc>
          <w:tcPr>
            <w:tcW w:w="4260" w:type="dxa"/>
            <w:vAlign w:val="top"/>
          </w:tcPr>
          <w:p>
            <w:pPr>
              <w:spacing w:line="240" w:lineRule="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燃烧热（</w:t>
            </w:r>
            <w:r>
              <w:rPr>
                <w:rFonts w:hint="eastAsia" w:ascii="宋体" w:hAnsi="宋体" w:eastAsia="宋体" w:cs="宋体"/>
                <w:b/>
                <w:bCs/>
                <w:sz w:val="21"/>
                <w:szCs w:val="21"/>
              </w:rPr>
              <w:t>kJ/mol</w:t>
            </w:r>
            <w:r>
              <w:rPr>
                <w:rFonts w:hint="eastAsia" w:ascii="宋体" w:hAnsi="宋体" w:eastAsia="宋体" w:cs="宋体"/>
                <w:b/>
                <w:bCs/>
                <w:sz w:val="21"/>
                <w:szCs w:val="21"/>
              </w:rPr>
              <w:t>）：</w:t>
            </w:r>
            <w:r>
              <w:rPr>
                <w:rFonts w:hint="eastAsia" w:ascii="宋体" w:hAnsi="宋体" w:eastAsia="宋体" w:cs="宋体"/>
                <w:sz w:val="21"/>
                <w:szCs w:val="21"/>
                <w:lang w:eastAsia="zh-CN"/>
              </w:rPr>
              <w:t>无资料</w:t>
            </w:r>
          </w:p>
        </w:tc>
        <w:tc>
          <w:tcPr>
            <w:tcW w:w="4262" w:type="dxa"/>
            <w:vAlign w:val="top"/>
          </w:tcPr>
          <w:p>
            <w:pPr>
              <w:spacing w:line="240" w:lineRule="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临界温度（</w:t>
            </w:r>
            <w:r>
              <w:rPr>
                <w:rFonts w:hint="eastAsia" w:ascii="宋体" w:hAnsi="宋体" w:eastAsia="宋体" w:cs="宋体"/>
                <w:b/>
                <w:bCs/>
                <w:sz w:val="21"/>
                <w:szCs w:val="21"/>
              </w:rPr>
              <w:t>℃</w:t>
            </w:r>
            <w:r>
              <w:rPr>
                <w:rFonts w:hint="eastAsia" w:ascii="宋体" w:hAnsi="宋体" w:eastAsia="宋体" w:cs="宋体"/>
                <w:b/>
                <w:bCs/>
                <w:sz w:val="21"/>
                <w:szCs w:val="21"/>
              </w:rPr>
              <w:t>）：</w:t>
            </w:r>
            <w:r>
              <w:rPr>
                <w:rFonts w:hint="eastAsia" w:ascii="宋体" w:hAnsi="宋体" w:eastAsia="宋体" w:cs="宋体"/>
                <w:sz w:val="21"/>
                <w:szCs w:val="21"/>
                <w:lang w:eastAsia="zh-CN"/>
              </w:rPr>
              <w:t>无资料</w:t>
            </w:r>
          </w:p>
        </w:tc>
      </w:tr>
      <w:tr>
        <w:tblPrEx>
          <w:tblLayout w:type="fixed"/>
          <w:tblCellMar>
            <w:top w:w="0" w:type="dxa"/>
            <w:left w:w="108" w:type="dxa"/>
            <w:bottom w:w="0" w:type="dxa"/>
            <w:right w:w="108" w:type="dxa"/>
          </w:tblCellMar>
        </w:tblPrEx>
        <w:tc>
          <w:tcPr>
            <w:tcW w:w="8522" w:type="dxa"/>
            <w:gridSpan w:val="2"/>
            <w:vAlign w:val="top"/>
          </w:tcPr>
          <w:p>
            <w:pPr>
              <w:spacing w:line="240" w:lineRule="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临界压力（MPa）：</w:t>
            </w:r>
            <w:r>
              <w:rPr>
                <w:rFonts w:hint="eastAsia" w:ascii="宋体" w:hAnsi="宋体" w:eastAsia="宋体" w:cs="宋体"/>
                <w:sz w:val="21"/>
                <w:szCs w:val="21"/>
                <w:lang w:eastAsia="zh-CN"/>
              </w:rPr>
              <w:t>无资料</w:t>
            </w:r>
          </w:p>
        </w:tc>
      </w:tr>
      <w:tr>
        <w:tblPrEx>
          <w:tblLayout w:type="fixed"/>
          <w:tblCellMar>
            <w:top w:w="0" w:type="dxa"/>
            <w:left w:w="108" w:type="dxa"/>
            <w:bottom w:w="0" w:type="dxa"/>
            <w:right w:w="108" w:type="dxa"/>
          </w:tblCellMar>
        </w:tblPrEx>
        <w:tc>
          <w:tcPr>
            <w:tcW w:w="8522" w:type="dxa"/>
            <w:gridSpan w:val="2"/>
            <w:vAlign w:val="top"/>
          </w:tcPr>
          <w:p>
            <w:pPr>
              <w:spacing w:line="240" w:lineRule="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溶解性：</w:t>
            </w:r>
            <w:r>
              <w:rPr>
                <w:rFonts w:hint="eastAsia" w:ascii="宋体" w:hAnsi="宋体" w:eastAsia="宋体" w:cs="宋体"/>
                <w:sz w:val="21"/>
                <w:szCs w:val="21"/>
                <w:lang w:eastAsia="zh-CN"/>
              </w:rPr>
              <w:t>溶于水、醇、醚等多数有机溶剂。</w:t>
            </w:r>
          </w:p>
        </w:tc>
      </w:tr>
      <w:tr>
        <w:tblPrEx>
          <w:tblLayout w:type="fixed"/>
          <w:tblCellMar>
            <w:top w:w="0" w:type="dxa"/>
            <w:left w:w="108" w:type="dxa"/>
            <w:bottom w:w="0" w:type="dxa"/>
            <w:right w:w="108" w:type="dxa"/>
          </w:tblCellMar>
        </w:tblPrEx>
        <w:tc>
          <w:tcPr>
            <w:tcW w:w="8522" w:type="dxa"/>
            <w:gridSpan w:val="2"/>
            <w:vAlign w:val="top"/>
          </w:tcPr>
          <w:p>
            <w:pPr>
              <w:spacing w:line="240" w:lineRule="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主要用途：</w:t>
            </w:r>
            <w:r>
              <w:rPr>
                <w:rFonts w:hint="eastAsia" w:ascii="宋体" w:hAnsi="宋体" w:eastAsia="宋体" w:cs="宋体"/>
                <w:sz w:val="21"/>
                <w:szCs w:val="21"/>
                <w:lang w:eastAsia="zh-CN"/>
              </w:rPr>
              <w:t>用于制造维生素、磺胺类药、杀虫剂及塑料等。</w:t>
            </w:r>
          </w:p>
        </w:tc>
      </w:tr>
    </w:tbl>
    <w:p>
      <w:pPr>
        <w:spacing w:before="100" w:beforeAutospacing="1" w:after="100" w:afterAutospacing="1" w:line="240" w:lineRule="auto"/>
        <w:jc w:val="center"/>
        <w:outlineLvl w:val="9"/>
        <w:rPr>
          <w:rFonts w:hint="eastAsia" w:ascii="宋体" w:hAnsi="宋体" w:eastAsia="宋体" w:cs="宋体"/>
          <w:b/>
          <w:bCs/>
          <w:sz w:val="21"/>
          <w:szCs w:val="21"/>
        </w:rPr>
      </w:pPr>
      <w:r>
        <w:rPr>
          <w:rFonts w:hint="eastAsia" w:ascii="宋体" w:hAnsi="宋体" w:eastAsia="宋体" w:cs="宋体"/>
          <w:b/>
          <w:sz w:val="21"/>
          <w:szCs w:val="21"/>
        </w:rPr>
        <w:t>第十部分</w:t>
      </w:r>
      <w:r>
        <w:rPr>
          <w:rFonts w:hint="eastAsia" w:ascii="宋体" w:hAnsi="宋体" w:eastAsia="宋体" w:cs="宋体"/>
          <w:b/>
          <w:sz w:val="21"/>
          <w:szCs w:val="21"/>
        </w:rPr>
        <w:t xml:space="preserve"> </w:t>
      </w:r>
      <w:r>
        <w:rPr>
          <w:rFonts w:hint="eastAsia" w:ascii="宋体" w:hAnsi="宋体" w:eastAsia="宋体" w:cs="宋体"/>
          <w:b/>
          <w:sz w:val="21"/>
          <w:szCs w:val="21"/>
        </w:rPr>
        <w:t xml:space="preserve"> 稳定性和反应活性</w:t>
      </w:r>
    </w:p>
    <w:p>
      <w:pPr>
        <w:spacing w:line="240" w:lineRule="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稳定性：</w:t>
      </w:r>
      <w:r>
        <w:rPr>
          <w:rFonts w:hint="eastAsia" w:ascii="宋体" w:hAnsi="宋体" w:eastAsia="宋体" w:cs="宋体"/>
          <w:sz w:val="21"/>
          <w:szCs w:val="21"/>
          <w:lang w:eastAsia="zh-CN"/>
        </w:rPr>
        <w:t>稳定</w:t>
      </w:r>
    </w:p>
    <w:p>
      <w:pPr>
        <w:spacing w:line="240" w:lineRule="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禁配物：</w:t>
      </w:r>
      <w:r>
        <w:rPr>
          <w:rFonts w:hint="eastAsia" w:ascii="宋体" w:hAnsi="宋体" w:eastAsia="宋体" w:cs="宋体"/>
          <w:sz w:val="21"/>
          <w:szCs w:val="21"/>
          <w:lang w:eastAsia="zh-CN"/>
        </w:rPr>
        <w:t>酸类、强氧化剂、氯仿。</w:t>
      </w:r>
    </w:p>
    <w:p>
      <w:pPr>
        <w:spacing w:line="240" w:lineRule="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避免接触的条件:</w:t>
      </w:r>
      <w:r>
        <w:rPr>
          <w:rFonts w:hint="eastAsia" w:ascii="宋体" w:hAnsi="宋体" w:eastAsia="宋体" w:cs="宋体"/>
          <w:sz w:val="21"/>
          <w:szCs w:val="21"/>
        </w:rPr>
        <w:t xml:space="preserve"> </w:t>
      </w:r>
    </w:p>
    <w:p>
      <w:pPr>
        <w:spacing w:line="240" w:lineRule="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聚合危害：</w:t>
      </w:r>
      <w:r>
        <w:rPr>
          <w:rFonts w:hint="eastAsia" w:ascii="宋体" w:hAnsi="宋体" w:eastAsia="宋体" w:cs="宋体"/>
          <w:sz w:val="21"/>
          <w:szCs w:val="21"/>
          <w:lang w:eastAsia="zh-CN"/>
        </w:rPr>
        <w:t>不聚合</w:t>
      </w:r>
    </w:p>
    <w:p>
      <w:pPr>
        <w:spacing w:line="240" w:lineRule="auto"/>
        <w:outlineLvl w:val="9"/>
        <w:rPr>
          <w:rFonts w:hint="eastAsia" w:ascii="宋体" w:hAnsi="宋体" w:eastAsia="宋体" w:cs="宋体"/>
          <w:sz w:val="21"/>
          <w:szCs w:val="21"/>
          <w:lang w:eastAsia="zh-CN"/>
        </w:rPr>
      </w:pPr>
      <w:r>
        <w:rPr>
          <w:rFonts w:hint="eastAsia" w:ascii="宋体" w:hAnsi="宋体" w:eastAsia="宋体" w:cs="宋体"/>
          <w:b/>
          <w:bCs/>
          <w:sz w:val="21"/>
          <w:szCs w:val="21"/>
        </w:rPr>
        <w:t>分解产物：</w:t>
      </w:r>
    </w:p>
    <w:p>
      <w:pPr>
        <w:spacing w:before="100" w:beforeAutospacing="1" w:after="100" w:afterAutospacing="1" w:line="240" w:lineRule="auto"/>
        <w:jc w:val="center"/>
        <w:outlineLvl w:val="9"/>
        <w:rPr>
          <w:rFonts w:hint="eastAsia" w:ascii="宋体" w:hAnsi="宋体" w:eastAsia="宋体" w:cs="宋体"/>
          <w:b/>
          <w:sz w:val="21"/>
          <w:szCs w:val="21"/>
        </w:rPr>
      </w:pPr>
      <w:r>
        <w:rPr>
          <w:rFonts w:hint="eastAsia" w:ascii="宋体" w:hAnsi="宋体" w:eastAsia="宋体" w:cs="宋体"/>
          <w:b/>
          <w:sz w:val="21"/>
          <w:szCs w:val="21"/>
        </w:rPr>
        <w:t>第十一部分</w:t>
      </w:r>
      <w:r>
        <w:rPr>
          <w:rFonts w:hint="eastAsia" w:ascii="宋体" w:hAnsi="宋体" w:eastAsia="宋体" w:cs="宋体"/>
          <w:b/>
          <w:sz w:val="21"/>
          <w:szCs w:val="21"/>
        </w:rPr>
        <w:t xml:space="preserve"> </w:t>
      </w:r>
      <w:r>
        <w:rPr>
          <w:rFonts w:hint="eastAsia" w:ascii="宋体" w:hAnsi="宋体" w:eastAsia="宋体" w:cs="宋体"/>
          <w:b/>
          <w:sz w:val="21"/>
          <w:szCs w:val="21"/>
        </w:rPr>
        <w:t xml:space="preserve"> 毒理学资料</w:t>
      </w:r>
    </w:p>
    <w:p>
      <w:pPr>
        <w:spacing w:line="240" w:lineRule="auto"/>
        <w:outlineLvl w:val="9"/>
        <w:rPr>
          <w:rFonts w:hint="eastAsia" w:ascii="宋体" w:hAnsi="宋体" w:eastAsia="宋体" w:cs="宋体"/>
          <w:sz w:val="21"/>
          <w:szCs w:val="21"/>
          <w:lang w:eastAsia="zh-CN"/>
        </w:rPr>
      </w:pPr>
      <w:r>
        <w:rPr>
          <w:rFonts w:hint="eastAsia" w:ascii="宋体" w:hAnsi="宋体" w:eastAsia="宋体" w:cs="宋体"/>
          <w:b/>
          <w:bCs/>
          <w:sz w:val="21"/>
          <w:szCs w:val="21"/>
        </w:rPr>
        <w:t xml:space="preserve">急性毒性： </w:t>
      </w:r>
      <w:r>
        <w:rPr>
          <w:rFonts w:hint="eastAsia" w:ascii="宋体" w:hAnsi="宋体" w:eastAsia="宋体" w:cs="宋体"/>
          <w:b/>
          <w:bCs/>
          <w:sz w:val="21"/>
          <w:szCs w:val="21"/>
        </w:rPr>
        <w:t>LD</w:t>
      </w:r>
      <w:r>
        <w:rPr>
          <w:rFonts w:hint="eastAsia" w:ascii="宋体" w:hAnsi="宋体" w:eastAsia="宋体" w:cs="宋体"/>
          <w:b/>
          <w:bCs/>
          <w:sz w:val="21"/>
          <w:szCs w:val="21"/>
          <w:vertAlign w:val="subscript"/>
        </w:rPr>
        <w:t>50</w:t>
      </w:r>
      <w:r>
        <w:rPr>
          <w:rFonts w:hint="eastAsia" w:ascii="宋体" w:hAnsi="宋体" w:eastAsia="宋体" w:cs="宋体"/>
          <w:sz w:val="21"/>
          <w:szCs w:val="21"/>
        </w:rPr>
        <w:t>：</w:t>
      </w:r>
      <w:r>
        <w:rPr>
          <w:rFonts w:hint="eastAsia" w:ascii="宋体" w:hAnsi="宋体" w:eastAsia="宋体" w:cs="宋体"/>
          <w:sz w:val="21"/>
          <w:szCs w:val="21"/>
          <w:lang w:eastAsia="zh-CN"/>
        </w:rPr>
        <w:t>1580 mg/kg(大鼠经口)；1121 mg/kg(兔经皮)</w:t>
      </w:r>
    </w:p>
    <w:p>
      <w:pPr>
        <w:spacing w:line="240" w:lineRule="auto"/>
        <w:ind w:firstLineChars="630"/>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LC</w:t>
      </w:r>
      <w:r>
        <w:rPr>
          <w:rFonts w:hint="eastAsia" w:ascii="宋体" w:hAnsi="宋体" w:eastAsia="宋体" w:cs="宋体"/>
          <w:b/>
          <w:bCs/>
          <w:sz w:val="21"/>
          <w:szCs w:val="21"/>
          <w:vertAlign w:val="subscript"/>
        </w:rPr>
        <w:t>50</w:t>
      </w:r>
      <w:r>
        <w:rPr>
          <w:rFonts w:hint="eastAsia" w:ascii="宋体" w:hAnsi="宋体" w:eastAsia="宋体" w:cs="宋体"/>
          <w:b/>
          <w:bCs/>
          <w:sz w:val="21"/>
          <w:szCs w:val="21"/>
        </w:rPr>
        <w:t>：</w:t>
      </w:r>
      <w:r>
        <w:rPr>
          <w:rFonts w:hint="eastAsia" w:ascii="宋体" w:hAnsi="宋体" w:eastAsia="宋体" w:cs="宋体"/>
          <w:sz w:val="21"/>
          <w:szCs w:val="21"/>
          <w:lang w:eastAsia="zh-CN"/>
        </w:rPr>
        <w:t>无资料</w:t>
      </w:r>
    </w:p>
    <w:p>
      <w:pPr>
        <w:spacing w:line="240" w:lineRule="auto"/>
        <w:outlineLvl w:val="9"/>
        <w:rPr>
          <w:rFonts w:hint="eastAsia" w:ascii="宋体" w:hAnsi="宋体" w:eastAsia="宋体" w:cs="宋体"/>
          <w:sz w:val="21"/>
          <w:szCs w:val="21"/>
          <w:lang w:eastAsia="zh-CN"/>
        </w:rPr>
      </w:pPr>
      <w:r>
        <w:rPr>
          <w:rFonts w:hint="eastAsia" w:ascii="宋体" w:hAnsi="宋体" w:eastAsia="宋体" w:cs="宋体"/>
          <w:b/>
          <w:bCs/>
          <w:sz w:val="21"/>
          <w:szCs w:val="21"/>
        </w:rPr>
        <w:t>刺激性：</w:t>
      </w:r>
      <w:r>
        <w:rPr>
          <w:rFonts w:hint="eastAsia" w:ascii="宋体" w:hAnsi="宋体" w:eastAsia="宋体" w:cs="宋体"/>
          <w:sz w:val="21"/>
          <w:szCs w:val="21"/>
          <w:lang w:eastAsia="zh-CN"/>
        </w:rPr>
        <w:t>原液滴入豚鼠眼一滴，可引起角膜损害； 40%的溶液滴入兔眼，可引起角膜坏死。</w:t>
      </w:r>
    </w:p>
    <w:p>
      <w:pPr>
        <w:spacing w:before="100" w:beforeAutospacing="1" w:after="100" w:afterAutospacing="1" w:line="240" w:lineRule="auto"/>
        <w:jc w:val="center"/>
        <w:outlineLvl w:val="9"/>
        <w:rPr>
          <w:rFonts w:hint="eastAsia" w:ascii="宋体" w:hAnsi="宋体" w:eastAsia="宋体" w:cs="宋体"/>
          <w:b/>
          <w:sz w:val="21"/>
          <w:szCs w:val="21"/>
        </w:rPr>
      </w:pPr>
      <w:r>
        <w:rPr>
          <w:rFonts w:hint="eastAsia" w:ascii="宋体" w:hAnsi="宋体" w:eastAsia="宋体" w:cs="宋体"/>
          <w:b/>
          <w:sz w:val="21"/>
          <w:szCs w:val="21"/>
        </w:rPr>
        <w:t>第十二部分</w:t>
      </w:r>
      <w:r>
        <w:rPr>
          <w:rFonts w:hint="eastAsia" w:ascii="宋体" w:hAnsi="宋体" w:eastAsia="宋体" w:cs="宋体"/>
          <w:b/>
          <w:sz w:val="21"/>
          <w:szCs w:val="21"/>
        </w:rPr>
        <w:t xml:space="preserve"> </w:t>
      </w:r>
      <w:r>
        <w:rPr>
          <w:rFonts w:hint="eastAsia" w:ascii="宋体" w:hAnsi="宋体" w:eastAsia="宋体" w:cs="宋体"/>
          <w:b/>
          <w:sz w:val="21"/>
          <w:szCs w:val="21"/>
        </w:rPr>
        <w:t xml:space="preserve"> 生态学资料</w:t>
      </w:r>
    </w:p>
    <w:p>
      <w:pPr>
        <w:spacing w:line="240" w:lineRule="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生态毒性：</w:t>
      </w:r>
    </w:p>
    <w:p>
      <w:pPr>
        <w:spacing w:line="240" w:lineRule="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生物降解性：</w:t>
      </w:r>
    </w:p>
    <w:p>
      <w:pPr>
        <w:spacing w:line="240" w:lineRule="auto"/>
        <w:outlineLvl w:val="9"/>
        <w:rPr>
          <w:rFonts w:hint="eastAsia" w:ascii="宋体" w:hAnsi="宋体" w:eastAsia="宋体" w:cs="宋体"/>
          <w:sz w:val="21"/>
          <w:szCs w:val="21"/>
          <w:lang w:eastAsia="zh-CN"/>
        </w:rPr>
      </w:pPr>
      <w:r>
        <w:rPr>
          <w:rFonts w:hint="eastAsia" w:ascii="宋体" w:hAnsi="宋体" w:eastAsia="宋体" w:cs="宋体"/>
          <w:b/>
          <w:bCs/>
          <w:sz w:val="21"/>
          <w:szCs w:val="21"/>
        </w:rPr>
        <w:t>非生物降解性：</w:t>
      </w:r>
    </w:p>
    <w:p>
      <w:pPr>
        <w:spacing w:line="240" w:lineRule="auto"/>
        <w:outlineLvl w:val="9"/>
        <w:rPr>
          <w:rFonts w:hint="eastAsia" w:ascii="宋体" w:hAnsi="宋体" w:eastAsia="宋体" w:cs="宋体"/>
          <w:sz w:val="21"/>
          <w:szCs w:val="21"/>
          <w:lang w:eastAsia="zh-CN"/>
        </w:rPr>
      </w:pPr>
      <w:r>
        <w:rPr>
          <w:rFonts w:hint="eastAsia" w:ascii="宋体" w:hAnsi="宋体" w:eastAsia="宋体" w:cs="宋体"/>
          <w:b/>
          <w:bCs/>
          <w:sz w:val="21"/>
          <w:szCs w:val="21"/>
        </w:rPr>
        <w:t>其它有害作用：</w:t>
      </w:r>
      <w:r>
        <w:rPr>
          <w:rFonts w:hint="eastAsia" w:ascii="宋体" w:hAnsi="宋体" w:eastAsia="宋体" w:cs="宋体"/>
          <w:sz w:val="21"/>
          <w:szCs w:val="21"/>
          <w:lang w:eastAsia="zh-CN"/>
        </w:rPr>
        <w:t>该物质对环境可能有危害，应特别注意对水体的污染。</w:t>
      </w:r>
    </w:p>
    <w:p>
      <w:pPr>
        <w:spacing w:before="100" w:beforeAutospacing="1" w:after="100" w:afterAutospacing="1" w:line="240" w:lineRule="auto"/>
        <w:jc w:val="center"/>
        <w:outlineLvl w:val="9"/>
        <w:rPr>
          <w:rFonts w:hint="eastAsia" w:ascii="宋体" w:hAnsi="宋体" w:eastAsia="宋体" w:cs="宋体"/>
          <w:b/>
          <w:sz w:val="21"/>
          <w:szCs w:val="21"/>
        </w:rPr>
      </w:pPr>
      <w:r>
        <w:rPr>
          <w:rFonts w:hint="eastAsia" w:ascii="宋体" w:hAnsi="宋体" w:eastAsia="宋体" w:cs="宋体"/>
          <w:b/>
          <w:sz w:val="21"/>
          <w:szCs w:val="21"/>
        </w:rPr>
        <w:t>第十三部分</w:t>
      </w:r>
      <w:r>
        <w:rPr>
          <w:rFonts w:hint="eastAsia" w:ascii="宋体" w:hAnsi="宋体" w:eastAsia="宋体" w:cs="宋体"/>
          <w:b/>
          <w:sz w:val="21"/>
          <w:szCs w:val="21"/>
        </w:rPr>
        <w:t xml:space="preserve"> </w:t>
      </w:r>
      <w:r>
        <w:rPr>
          <w:rFonts w:hint="eastAsia" w:ascii="宋体" w:hAnsi="宋体" w:eastAsia="宋体" w:cs="宋体"/>
          <w:b/>
          <w:sz w:val="21"/>
          <w:szCs w:val="21"/>
        </w:rPr>
        <w:t xml:space="preserve"> 废 弃 处 置</w:t>
      </w:r>
    </w:p>
    <w:p>
      <w:pPr>
        <w:spacing w:line="240" w:lineRule="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废弃物性质：</w:t>
      </w:r>
    </w:p>
    <w:p>
      <w:pPr>
        <w:spacing w:line="240" w:lineRule="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废弃处置方法：</w:t>
      </w:r>
      <w:r>
        <w:rPr>
          <w:rFonts w:hint="eastAsia" w:ascii="宋体" w:hAnsi="宋体" w:eastAsia="宋体" w:cs="宋体"/>
          <w:sz w:val="21"/>
          <w:szCs w:val="21"/>
          <w:lang w:eastAsia="zh-CN"/>
        </w:rPr>
        <w:t>用控制焚烧法处置。焚烧炉排出的氮氧化物通过洗涤器除去。</w:t>
      </w:r>
    </w:p>
    <w:p>
      <w:pPr>
        <w:spacing w:line="240" w:lineRule="auto"/>
        <w:outlineLvl w:val="9"/>
        <w:rPr>
          <w:rFonts w:hint="eastAsia" w:ascii="宋体" w:hAnsi="宋体" w:eastAsia="宋体" w:cs="宋体"/>
          <w:sz w:val="21"/>
          <w:szCs w:val="21"/>
          <w:lang w:eastAsia="zh-CN"/>
        </w:rPr>
      </w:pPr>
      <w:r>
        <w:rPr>
          <w:rFonts w:hint="eastAsia" w:ascii="宋体" w:hAnsi="宋体" w:eastAsia="宋体" w:cs="宋体"/>
          <w:b/>
          <w:bCs/>
          <w:sz w:val="21"/>
          <w:szCs w:val="21"/>
        </w:rPr>
        <w:t>废弃注意事项：</w:t>
      </w:r>
    </w:p>
    <w:p>
      <w:pPr>
        <w:spacing w:before="100" w:beforeAutospacing="1" w:after="100" w:afterAutospacing="1" w:line="240" w:lineRule="auto"/>
        <w:jc w:val="center"/>
        <w:outlineLvl w:val="9"/>
        <w:rPr>
          <w:rFonts w:hint="eastAsia" w:ascii="宋体" w:hAnsi="宋体" w:eastAsia="宋体" w:cs="宋体"/>
          <w:b/>
          <w:sz w:val="21"/>
          <w:szCs w:val="21"/>
        </w:rPr>
      </w:pPr>
      <w:r>
        <w:rPr>
          <w:rFonts w:hint="eastAsia" w:ascii="宋体" w:hAnsi="宋体" w:eastAsia="宋体" w:cs="宋体"/>
          <w:b/>
          <w:sz w:val="21"/>
          <w:szCs w:val="21"/>
        </w:rPr>
        <w:t>第十四部分</w:t>
      </w:r>
      <w:r>
        <w:rPr>
          <w:rFonts w:hint="eastAsia" w:ascii="宋体" w:hAnsi="宋体" w:eastAsia="宋体" w:cs="宋体"/>
          <w:b/>
          <w:sz w:val="21"/>
          <w:szCs w:val="21"/>
        </w:rPr>
        <w:t xml:space="preserve"> </w:t>
      </w:r>
      <w:r>
        <w:rPr>
          <w:rFonts w:hint="eastAsia" w:ascii="宋体" w:hAnsi="宋体" w:eastAsia="宋体" w:cs="宋体"/>
          <w:b/>
          <w:sz w:val="21"/>
          <w:szCs w:val="21"/>
        </w:rPr>
        <w:t xml:space="preserve"> 运 输 信 息</w:t>
      </w:r>
    </w:p>
    <w:p>
      <w:pPr>
        <w:spacing w:line="240" w:lineRule="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危险货物编号：</w:t>
      </w:r>
      <w:r>
        <w:rPr>
          <w:rFonts w:hint="eastAsia" w:ascii="宋体" w:hAnsi="宋体" w:eastAsia="宋体" w:cs="宋体"/>
          <w:sz w:val="21"/>
          <w:szCs w:val="21"/>
          <w:lang w:eastAsia="zh-CN"/>
        </w:rPr>
        <w:t>32104</w:t>
      </w:r>
    </w:p>
    <w:p>
      <w:pPr>
        <w:spacing w:line="240" w:lineRule="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UN</w:t>
      </w:r>
      <w:r>
        <w:rPr>
          <w:rFonts w:hint="eastAsia" w:ascii="宋体" w:hAnsi="宋体" w:eastAsia="宋体" w:cs="宋体"/>
          <w:b/>
          <w:bCs/>
          <w:sz w:val="21"/>
          <w:szCs w:val="21"/>
        </w:rPr>
        <w:t>编号：</w:t>
      </w:r>
      <w:r>
        <w:rPr>
          <w:rFonts w:hint="eastAsia" w:ascii="宋体" w:hAnsi="宋体" w:eastAsia="宋体" w:cs="宋体"/>
          <w:sz w:val="21"/>
          <w:szCs w:val="21"/>
          <w:lang w:eastAsia="zh-CN"/>
        </w:rPr>
        <w:t>1282</w:t>
      </w:r>
    </w:p>
    <w:p>
      <w:pPr>
        <w:spacing w:line="240" w:lineRule="auto"/>
        <w:outlineLvl w:val="9"/>
        <w:rPr>
          <w:rFonts w:hint="eastAsia" w:ascii="宋体" w:hAnsi="宋体" w:eastAsia="宋体" w:cs="宋体"/>
          <w:sz w:val="21"/>
          <w:szCs w:val="21"/>
          <w:lang w:eastAsia="zh-CN"/>
        </w:rPr>
      </w:pPr>
      <w:r>
        <w:rPr>
          <w:rFonts w:hint="eastAsia" w:ascii="宋体" w:hAnsi="宋体" w:eastAsia="宋体" w:cs="宋体"/>
          <w:b/>
          <w:bCs/>
          <w:sz w:val="21"/>
          <w:szCs w:val="21"/>
        </w:rPr>
        <w:t>包装标志：</w:t>
      </w:r>
      <w:r>
        <w:rPr>
          <w:rFonts w:hint="eastAsia" w:ascii="宋体" w:hAnsi="宋体" w:eastAsia="宋体" w:cs="宋体"/>
          <w:sz w:val="21"/>
          <w:szCs w:val="21"/>
          <w:lang w:eastAsia="zh-CN"/>
        </w:rPr>
        <w:t>易燃液体；有毒品</w:t>
      </w:r>
    </w:p>
    <w:p>
      <w:pPr>
        <w:spacing w:line="240" w:lineRule="auto"/>
        <w:outlineLvl w:val="9"/>
        <w:rPr>
          <w:rFonts w:hint="eastAsia" w:ascii="宋体" w:hAnsi="宋体" w:eastAsia="宋体" w:cs="宋体"/>
          <w:sz w:val="21"/>
          <w:szCs w:val="21"/>
          <w:lang w:eastAsia="zh-CN"/>
        </w:rPr>
      </w:pPr>
      <w:r>
        <w:rPr>
          <w:rFonts w:hint="eastAsia" w:ascii="宋体" w:hAnsi="宋体" w:eastAsia="宋体" w:cs="宋体"/>
          <w:b/>
          <w:bCs/>
          <w:sz w:val="21"/>
          <w:szCs w:val="21"/>
        </w:rPr>
        <w:t>包装类别：</w:t>
      </w:r>
      <w:r>
        <w:rPr>
          <w:rFonts w:hint="eastAsia" w:ascii="宋体" w:hAnsi="宋体" w:eastAsia="宋体" w:cs="宋体"/>
          <w:sz w:val="21"/>
          <w:szCs w:val="21"/>
          <w:lang w:eastAsia="zh-CN"/>
        </w:rPr>
        <w:t>O52</w:t>
      </w:r>
    </w:p>
    <w:p>
      <w:pPr>
        <w:spacing w:line="240" w:lineRule="auto"/>
        <w:outlineLvl w:val="9"/>
        <w:rPr>
          <w:rFonts w:hint="eastAsia" w:ascii="宋体" w:hAnsi="宋体" w:eastAsia="宋体" w:cs="宋体"/>
          <w:sz w:val="21"/>
          <w:szCs w:val="21"/>
          <w:lang w:eastAsia="zh-CN"/>
        </w:rPr>
      </w:pPr>
      <w:r>
        <w:rPr>
          <w:rFonts w:hint="eastAsia" w:ascii="宋体" w:hAnsi="宋体" w:eastAsia="宋体" w:cs="宋体"/>
          <w:b/>
          <w:bCs/>
          <w:sz w:val="21"/>
          <w:szCs w:val="21"/>
        </w:rPr>
        <w:t>包装方法：</w:t>
      </w:r>
      <w:r>
        <w:rPr>
          <w:rFonts w:hint="eastAsia" w:ascii="宋体" w:hAnsi="宋体" w:eastAsia="宋体" w:cs="宋体"/>
          <w:sz w:val="21"/>
          <w:szCs w:val="21"/>
          <w:lang w:eastAsia="zh-CN"/>
        </w:rPr>
        <w:t>小开口钢桶；安瓿瓶外普通木箱；螺纹口玻璃瓶、铁盖压口玻璃瓶、塑料瓶或金属桶（罐）外普通木箱。</w:t>
      </w:r>
    </w:p>
    <w:p>
      <w:pPr>
        <w:spacing w:line="240" w:lineRule="auto"/>
        <w:outlineLvl w:val="9"/>
        <w:rPr>
          <w:rFonts w:hint="eastAsia" w:ascii="宋体" w:hAnsi="宋体" w:eastAsia="宋体" w:cs="宋体"/>
          <w:sz w:val="21"/>
          <w:szCs w:val="21"/>
          <w:lang w:eastAsia="zh-CN"/>
        </w:rPr>
      </w:pPr>
      <w:r>
        <w:rPr>
          <w:rFonts w:hint="eastAsia" w:ascii="宋体" w:hAnsi="宋体" w:eastAsia="宋体" w:cs="宋体"/>
          <w:b/>
          <w:bCs/>
          <w:sz w:val="21"/>
          <w:szCs w:val="21"/>
        </w:rPr>
        <w:t>运输注意事项：</w:t>
      </w:r>
      <w:r>
        <w:rPr>
          <w:rFonts w:hint="eastAsia" w:ascii="宋体" w:hAnsi="宋体" w:eastAsia="宋体" w:cs="宋体"/>
          <w:sz w:val="21"/>
          <w:szCs w:val="21"/>
          <w:lang w:eastAsia="zh-CN"/>
        </w:rPr>
        <w:t>铁路运输时应严格按照铁道部《危险货物运输规则》中的危险货物配装表进行配装。运输时运输车辆应配备相应品种和数量的消防器材及泄漏应急处理设备。夏季最好早晚运输。运输时所用的槽（罐）车应有接地链，槽内可设孔隔板以减少震荡产生静电。严禁与氧化剂、酸类、食用化学品等混装混运。运输途中应防曝晒、雨淋，防高温。中途停留时应远离火种、热源、高温区。装运该物品的车辆排气管必须配备阻火装置，禁止使用易产生火花的机械设备和工具装卸。公路运输时要按规定路线行驶，勿在居民区和人口稠密区停留。铁路运输时要禁止溜放。严禁用木船、水泥船散装运输。</w:t>
      </w:r>
    </w:p>
    <w:p>
      <w:pPr>
        <w:spacing w:before="100" w:beforeAutospacing="1" w:after="100" w:afterAutospacing="1" w:line="240" w:lineRule="auto"/>
        <w:jc w:val="center"/>
        <w:outlineLvl w:val="9"/>
        <w:rPr>
          <w:rFonts w:hint="eastAsia" w:ascii="宋体" w:hAnsi="宋体" w:eastAsia="宋体" w:cs="宋体"/>
          <w:b/>
          <w:sz w:val="21"/>
          <w:szCs w:val="21"/>
        </w:rPr>
      </w:pPr>
      <w:r>
        <w:rPr>
          <w:rFonts w:hint="eastAsia" w:ascii="宋体" w:hAnsi="宋体" w:eastAsia="宋体" w:cs="宋体"/>
          <w:b/>
          <w:sz w:val="21"/>
          <w:szCs w:val="21"/>
        </w:rPr>
        <w:t>第十五部分</w:t>
      </w:r>
      <w:r>
        <w:rPr>
          <w:rFonts w:hint="eastAsia" w:ascii="宋体" w:hAnsi="宋体" w:eastAsia="宋体" w:cs="宋体"/>
          <w:b/>
          <w:sz w:val="21"/>
          <w:szCs w:val="21"/>
        </w:rPr>
        <w:t xml:space="preserve"> </w:t>
      </w:r>
      <w:r>
        <w:rPr>
          <w:rFonts w:hint="eastAsia" w:ascii="宋体" w:hAnsi="宋体" w:eastAsia="宋体" w:cs="宋体"/>
          <w:b/>
          <w:sz w:val="21"/>
          <w:szCs w:val="21"/>
        </w:rPr>
        <w:t xml:space="preserve"> 法 规 信 息</w:t>
      </w:r>
    </w:p>
    <w:p>
      <w:pPr>
        <w:spacing w:line="240" w:lineRule="auto"/>
        <w:outlineLvl w:val="9"/>
        <w:rPr>
          <w:rFonts w:hint="eastAsia" w:ascii="宋体" w:hAnsi="宋体" w:eastAsia="宋体" w:cs="宋体"/>
          <w:sz w:val="21"/>
          <w:szCs w:val="21"/>
          <w:lang w:eastAsia="zh-CN"/>
        </w:rPr>
      </w:pPr>
      <w:r>
        <w:rPr>
          <w:rFonts w:hint="eastAsia" w:ascii="宋体" w:hAnsi="宋体" w:eastAsia="宋体" w:cs="宋体"/>
          <w:b/>
          <w:bCs/>
          <w:sz w:val="21"/>
          <w:szCs w:val="21"/>
        </w:rPr>
        <w:t>法规信息：</w:t>
      </w:r>
      <w:r>
        <w:rPr>
          <w:rFonts w:hint="eastAsia" w:ascii="宋体" w:hAnsi="宋体" w:eastAsia="宋体" w:cs="宋体"/>
          <w:b w:val="0"/>
          <w:bCs w:val="0"/>
          <w:sz w:val="21"/>
          <w:szCs w:val="21"/>
          <w:lang w:eastAsia="zh-CN"/>
        </w:rPr>
        <w:t>《</w:t>
      </w:r>
      <w:r>
        <w:rPr>
          <w:rFonts w:hint="eastAsia" w:ascii="宋体" w:hAnsi="宋体" w:eastAsia="宋体" w:cs="宋体"/>
          <w:color w:val="000000"/>
          <w:sz w:val="21"/>
          <w:szCs w:val="21"/>
        </w:rPr>
        <w:t>危险化学品安全管理条例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（国务院令第591号）</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 xml:space="preserve"> 《危险化学品名录》2015版</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常用危险化学品的分类及标志（GB13690-2009）</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工作场所有害因素职业接触限值（GBZ2.1-2007）</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危险货物分类和品名编号（GB6944-2012）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危险货物品名表（GB12268-2012）</w:t>
      </w:r>
      <w:r>
        <w:rPr>
          <w:rFonts w:hint="eastAsia" w:ascii="宋体" w:hAnsi="宋体" w:eastAsia="宋体" w:cs="宋体"/>
          <w:sz w:val="21"/>
          <w:szCs w:val="21"/>
          <w:lang w:eastAsia="zh-CN"/>
        </w:rPr>
        <w:t>。</w:t>
      </w:r>
    </w:p>
    <w:p>
      <w:pPr>
        <w:spacing w:line="240" w:lineRule="auto"/>
        <w:outlineLvl w:val="9"/>
        <w:rPr>
          <w:rFonts w:hint="eastAsia" w:ascii="宋体" w:hAnsi="宋体" w:eastAsia="宋体" w:cs="宋体"/>
          <w:sz w:val="21"/>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G">
    <w:altName w:val="Courier New"/>
    <w:panose1 w:val="00000000000000000000"/>
    <w:charset w:val="00"/>
    <w:family w:val="roman"/>
    <w:pitch w:val="default"/>
    <w:sig w:usb0="00000000"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030EB3"/>
    <w:rsid w:val="26030EB3"/>
    <w:rsid w:val="66C0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G" w:hAnsi="G" w:eastAsia="宋体" w:cs="G"/>
      </w:rPr>
    </w:rPrDefault>
  </w:docDefaults>
  <w:latentStyles w:count="260" w:defQFormat="0" w:defUnhideWhenUsed="1" w:defSemiHidden="1" w:defUIPriority="99" w:defLockedState="0">
    <w:lsdException w:unhideWhenUsed="0" w:uiPriority="0" w:semiHidden="0" w:name="Normal"/>
    <w:lsdException w:qFormat="1" w:unhideWhenUsed="0" w:uiPriority="2"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spacing w:val="8"/>
      <w:kern w:val="2"/>
      <w:sz w:val="24"/>
      <w:szCs w:val="24"/>
      <w:lang w:val="en-US" w:eastAsia="zh-CN" w:bidi="ar-SA"/>
    </w:rPr>
  </w:style>
  <w:style w:type="paragraph" w:styleId="2">
    <w:name w:val="heading 1"/>
    <w:basedOn w:val="1"/>
    <w:next w:val="1"/>
    <w:qFormat/>
    <w:uiPriority w:val="2"/>
    <w:pPr>
      <w:keepNext/>
      <w:ind w:firstLine="1619" w:firstLineChars="547"/>
      <w:outlineLvl w:val="0"/>
    </w:pPr>
    <w:rPr>
      <w:rFonts w:ascii="宋体" w:hAnsi="宋体"/>
      <w:sz w:val="28"/>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2018-09-08T01:19:00Z</dcterms:created>
  <dc:creator>Administrator</dc:creator>
  <cp:lastModifiedBy>Administrator</cp:lastModifiedBy>
  <dcterms:modified xsi:type="dcterms:W3CDTF">2018-09-08T01:23:48Z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