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1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202692</wp:posOffset>
            </wp:positionH>
            <wp:positionV relativeFrom="page">
              <wp:posOffset>9886312</wp:posOffset>
            </wp:positionV>
            <wp:extent cx="7200138" cy="79247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138" cy="792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6635977" cy="58140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977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6"/>
        </w:rPr>
      </w:pPr>
      <w:r>
        <w:rPr/>
        <w:pict>
          <v:rect style="position:absolute;margin-left:41.16pt;margin-top:5.12001pt;width:513.22pt;height:.71999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Title"/>
      </w:pPr>
      <w:r>
        <w:rPr>
          <w:rFonts w:ascii="宋体" w:eastAsia="宋体" w:hint="eastAsia"/>
        </w:rPr>
        <w:t>明</w:t>
      </w:r>
      <w:r>
        <w:rPr>
          <w:rFonts w:ascii="宋体" w:eastAsia="宋体" w:hint="eastAsia"/>
        </w:rPr>
        <w:t>富</w:t>
      </w:r>
      <w:r>
        <w:rPr>
          <w:rFonts w:ascii="宋体" w:eastAsia="宋体" w:hint="eastAsia"/>
        </w:rPr>
        <w:t>高</w:t>
      </w:r>
      <w:r>
        <w:rPr>
          <w:rFonts w:ascii="宋体" w:eastAsia="宋体" w:hint="eastAsia"/>
        </w:rPr>
        <w:t>酯</w:t>
      </w:r>
      <w:r>
        <w:rPr>
          <w:rFonts w:ascii="宋体" w:eastAsia="宋体" w:hint="eastAsia"/>
        </w:rPr>
        <w:t>果</w:t>
      </w:r>
      <w:r>
        <w:rPr>
          <w:rFonts w:ascii="宋体" w:eastAsia="宋体" w:hint="eastAsia"/>
          <w:spacing w:val="-40"/>
        </w:rPr>
        <w:t>胶 </w:t>
      </w:r>
      <w:r>
        <w:rPr/>
        <w:t>AM</w:t>
      </w:r>
      <w:r>
        <w:rPr>
          <w:spacing w:val="-15"/>
        </w:rPr>
        <w:t> </w:t>
      </w:r>
      <w:r>
        <w:rPr>
          <w:spacing w:val="-4"/>
        </w:rPr>
        <w:t>5240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417" w:lineRule="auto" w:before="207" w:after="0"/>
        <w:ind w:left="132" w:right="879" w:firstLine="0"/>
        <w:jc w:val="both"/>
        <w:rPr>
          <w:sz w:val="21"/>
        </w:rPr>
      </w:pPr>
      <w:r>
        <w:rPr>
          <w:b/>
          <w:spacing w:val="19"/>
          <w:sz w:val="21"/>
        </w:rPr>
        <w:t>描  述</w:t>
      </w:r>
      <w:r>
        <w:rPr>
          <w:spacing w:val="-5"/>
          <w:sz w:val="21"/>
        </w:rPr>
        <w:t>： </w:t>
      </w:r>
      <w:r>
        <w:rPr>
          <w:rFonts w:ascii="Times New Roman" w:eastAsia="Times New Roman"/>
          <w:sz w:val="21"/>
        </w:rPr>
        <w:t>AM-5240</w:t>
      </w:r>
      <w:r>
        <w:rPr>
          <w:rFonts w:ascii="Times New Roman" w:eastAsia="Times New Roman"/>
          <w:spacing w:val="-5"/>
          <w:sz w:val="21"/>
        </w:rPr>
        <w:t> </w:t>
      </w:r>
      <w:r>
        <w:rPr>
          <w:sz w:val="21"/>
        </w:rPr>
        <w:t>是高质量柑橘皮提取的高酯果胶、通过加入葡萄糖进行标准化而成。同时也属于一种</w:t>
      </w:r>
      <w:r>
        <w:rPr>
          <w:spacing w:val="-2"/>
          <w:sz w:val="21"/>
        </w:rPr>
        <w:t>可溶性的天然膳食纤维，在酸奶及酸性含乳饮料中具有优异的性能。可以完全替代市场中的任何一款乳饮料用</w:t>
      </w:r>
      <w:r>
        <w:rPr>
          <w:spacing w:val="-3"/>
          <w:sz w:val="21"/>
        </w:rPr>
        <w:t>高酯果胶，因为 </w:t>
      </w:r>
      <w:r>
        <w:rPr>
          <w:rFonts w:ascii="Times New Roman" w:eastAsia="Times New Roman"/>
          <w:sz w:val="21"/>
        </w:rPr>
        <w:t>5240 </w:t>
      </w:r>
      <w:r>
        <w:rPr>
          <w:sz w:val="21"/>
        </w:rPr>
        <w:t>果胶是在传统果胶基础上的最新改进产品，因此具有更优秀的应用优势。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417" w:lineRule="auto" w:before="0" w:after="0"/>
        <w:ind w:left="132" w:right="1132" w:firstLine="0"/>
        <w:jc w:val="both"/>
        <w:rPr>
          <w:sz w:val="21"/>
        </w:rPr>
      </w:pPr>
      <w:r>
        <w:rPr>
          <w:b/>
          <w:spacing w:val="-2"/>
          <w:sz w:val="21"/>
        </w:rPr>
        <w:t>主要特征：</w:t>
      </w:r>
      <w:r>
        <w:rPr>
          <w:spacing w:val="-5"/>
          <w:sz w:val="21"/>
        </w:rPr>
        <w:t>应用广泛！果胶 </w:t>
      </w:r>
      <w:r>
        <w:rPr>
          <w:rFonts w:ascii="Times New Roman" w:eastAsia="Times New Roman"/>
          <w:spacing w:val="-2"/>
          <w:sz w:val="21"/>
        </w:rPr>
        <w:t>5240</w:t>
      </w:r>
      <w:r>
        <w:rPr>
          <w:rFonts w:ascii="Times New Roman" w:eastAsia="Times New Roman"/>
          <w:spacing w:val="29"/>
          <w:sz w:val="21"/>
        </w:rPr>
        <w:t> </w:t>
      </w:r>
      <w:r>
        <w:rPr>
          <w:spacing w:val="-2"/>
          <w:sz w:val="21"/>
        </w:rPr>
        <w:t>可以很好地阻止无脂肪酸奶饮料中的蛋白沉淀，改善常温酸奶质构及口</w:t>
      </w:r>
      <w:r>
        <w:rPr>
          <w:spacing w:val="-2"/>
          <w:sz w:val="21"/>
        </w:rPr>
        <w:t>感，赋予果汁饮料厚实且不粘稠的口感。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69" w:lineRule="exact" w:before="0" w:after="0"/>
        <w:ind w:left="449" w:right="0" w:hanging="318"/>
        <w:jc w:val="both"/>
        <w:rPr>
          <w:sz w:val="21"/>
        </w:rPr>
      </w:pPr>
      <w:r>
        <w:rPr>
          <w:b/>
          <w:spacing w:val="3"/>
          <w:sz w:val="21"/>
        </w:rPr>
        <w:t>典型应用： </w:t>
      </w:r>
      <w:r>
        <w:rPr>
          <w:spacing w:val="-3"/>
          <w:sz w:val="21"/>
        </w:rPr>
        <w:t>可以单独使用或与其他胶体复配，应用于酸性含乳饮料；酸奶；果酱；果汁饮料等产品中。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417" w:lineRule="auto" w:before="0" w:after="0"/>
        <w:ind w:left="1603" w:right="3916" w:hanging="1472"/>
        <w:jc w:val="left"/>
        <w:rPr>
          <w:rFonts w:ascii="Times New Roman" w:eastAsia="Times New Roman"/>
          <w:sz w:val="21"/>
        </w:rPr>
      </w:pPr>
      <w:r>
        <w:rPr>
          <w:b/>
          <w:spacing w:val="-5"/>
          <w:sz w:val="21"/>
        </w:rPr>
        <w:t>推荐用量： </w:t>
      </w:r>
      <w:r>
        <w:rPr>
          <w:spacing w:val="-8"/>
          <w:sz w:val="21"/>
        </w:rPr>
        <w:t>酸性含乳饮料 </w:t>
      </w:r>
      <w:r>
        <w:rPr>
          <w:rFonts w:ascii="Times New Roman" w:eastAsia="Times New Roman"/>
          <w:sz w:val="21"/>
        </w:rPr>
        <w:t>0.2-0.4%</w:t>
      </w:r>
      <w:r>
        <w:rPr>
          <w:spacing w:val="-14"/>
          <w:sz w:val="21"/>
        </w:rPr>
        <w:t>；酸奶 </w:t>
      </w:r>
      <w:r>
        <w:rPr>
          <w:rFonts w:ascii="Times New Roman" w:eastAsia="Times New Roman"/>
          <w:sz w:val="21"/>
        </w:rPr>
        <w:t>0.25-0.35%</w:t>
      </w:r>
      <w:r>
        <w:rPr>
          <w:spacing w:val="-11"/>
          <w:sz w:val="21"/>
        </w:rPr>
        <w:t>；果酱类 </w:t>
      </w:r>
      <w:r>
        <w:rPr>
          <w:rFonts w:ascii="Times New Roman" w:eastAsia="Times New Roman"/>
          <w:sz w:val="21"/>
        </w:rPr>
        <w:t>0.3-0.5%</w:t>
      </w:r>
      <w:r>
        <w:rPr>
          <w:sz w:val="21"/>
        </w:rPr>
        <w:t>；</w:t>
      </w:r>
      <w:r>
        <w:rPr>
          <w:spacing w:val="-7"/>
          <w:sz w:val="21"/>
        </w:rPr>
        <w:t>果汁饮料 </w:t>
      </w:r>
      <w:r>
        <w:rPr>
          <w:rFonts w:ascii="Times New Roman" w:eastAsia="Times New Roman"/>
          <w:sz w:val="21"/>
        </w:rPr>
        <w:t>0.1-0.3%</w:t>
      </w:r>
      <w:r>
        <w:rPr>
          <w:spacing w:val="10"/>
          <w:sz w:val="21"/>
        </w:rPr>
        <w:t>； 植物软糖 </w:t>
      </w:r>
      <w:r>
        <w:rPr>
          <w:rFonts w:ascii="Times New Roman" w:eastAsia="Times New Roman"/>
          <w:sz w:val="21"/>
        </w:rPr>
        <w:t>1.1-1.5%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98" w:lineRule="exact" w:before="0" w:after="0"/>
        <w:ind w:left="449" w:right="0" w:hanging="318"/>
        <w:jc w:val="both"/>
        <w:rPr>
          <w:rFonts w:ascii="等线" w:hAnsi="等线" w:eastAsia="等线"/>
          <w:sz w:val="21"/>
        </w:rPr>
      </w:pPr>
      <w:r>
        <w:rPr>
          <w:b/>
          <w:spacing w:val="2"/>
          <w:sz w:val="21"/>
        </w:rPr>
        <w:t>溶 解 性：</w:t>
      </w:r>
      <w:r>
        <w:rPr>
          <w:spacing w:val="-2"/>
          <w:sz w:val="21"/>
        </w:rPr>
        <w:t>在冷水和冷牛奶中分散，</w:t>
      </w:r>
      <w:r>
        <w:rPr>
          <w:rFonts w:ascii="Times New Roman" w:hAnsi="Times New Roman" w:eastAsia="Times New Roman"/>
          <w:spacing w:val="-2"/>
          <w:sz w:val="21"/>
        </w:rPr>
        <w:t>70</w:t>
      </w:r>
      <w:r>
        <w:rPr>
          <w:rFonts w:ascii="等线" w:hAnsi="等线" w:eastAsia="等线"/>
          <w:spacing w:val="-3"/>
          <w:sz w:val="21"/>
        </w:rPr>
        <w:t>℃以上完全溶解，在植物油、矿物及有机溶剂中不溶。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1080" w:val="left" w:leader="none"/>
        </w:tabs>
        <w:spacing w:line="367" w:lineRule="auto" w:before="170" w:after="0"/>
        <w:ind w:left="1498" w:right="4598" w:hanging="1366"/>
        <w:jc w:val="left"/>
        <w:rPr>
          <w:sz w:val="21"/>
        </w:rPr>
      </w:pPr>
      <w:r>
        <w:rPr>
          <w:b/>
          <w:spacing w:val="-10"/>
          <w:sz w:val="21"/>
        </w:rPr>
        <w:t>外</w:t>
      </w:r>
      <w:r>
        <w:rPr>
          <w:b/>
          <w:sz w:val="21"/>
        </w:rPr>
        <w:tab/>
      </w:r>
      <w:r>
        <w:rPr>
          <w:b/>
          <w:spacing w:val="-2"/>
          <w:sz w:val="21"/>
        </w:rPr>
        <w:t>观：</w:t>
      </w:r>
      <w:r>
        <w:rPr>
          <w:spacing w:val="-2"/>
          <w:sz w:val="21"/>
        </w:rPr>
        <w:t>可流动性的</w:t>
      </w:r>
      <w:r>
        <w:rPr>
          <w:spacing w:val="-2"/>
          <w:sz w:val="21"/>
        </w:rPr>
        <w:t>米</w:t>
      </w:r>
      <w:r>
        <w:rPr>
          <w:spacing w:val="-2"/>
          <w:sz w:val="21"/>
        </w:rPr>
        <w:t>色</w:t>
      </w:r>
      <w:r>
        <w:rPr>
          <w:spacing w:val="-2"/>
          <w:sz w:val="21"/>
        </w:rPr>
        <w:t>至浅棕色粉末，无结</w:t>
      </w:r>
      <w:r>
        <w:rPr>
          <w:spacing w:val="-2"/>
          <w:sz w:val="21"/>
        </w:rPr>
        <w:t>块</w:t>
      </w:r>
      <w:r>
        <w:rPr>
          <w:spacing w:val="-2"/>
          <w:sz w:val="21"/>
        </w:rPr>
        <w:t>，无臭无异味。</w:t>
      </w:r>
      <w:r>
        <w:rPr>
          <w:sz w:val="21"/>
        </w:rPr>
        <w:t>颗粒尺寸：</w:t>
      </w:r>
      <w:r>
        <w:rPr>
          <w:rFonts w:ascii="Times New Roman" w:eastAsia="Times New Roman"/>
          <w:sz w:val="21"/>
        </w:rPr>
        <w:t>90%</w:t>
      </w:r>
      <w:r>
        <w:rPr>
          <w:sz w:val="21"/>
        </w:rPr>
        <w:t>小于</w:t>
      </w:r>
      <w:r>
        <w:rPr>
          <w:spacing w:val="-20"/>
          <w:sz w:val="21"/>
        </w:rPr>
        <w:t> </w:t>
      </w:r>
      <w:r>
        <w:rPr>
          <w:rFonts w:ascii="Times New Roman" w:eastAsia="Times New Roman"/>
          <w:sz w:val="21"/>
        </w:rPr>
        <w:t>250 </w:t>
      </w:r>
      <w:r>
        <w:rPr>
          <w:sz w:val="21"/>
        </w:rPr>
        <w:t>微</w:t>
      </w:r>
      <w:r>
        <w:rPr>
          <w:sz w:val="21"/>
        </w:rPr>
        <w:t>米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3" w:after="0"/>
        <w:ind w:left="449" w:right="0" w:hanging="318"/>
        <w:jc w:val="left"/>
        <w:rPr>
          <w:b/>
          <w:sz w:val="21"/>
        </w:rPr>
      </w:pPr>
      <w:r>
        <w:rPr>
          <w:b/>
          <w:spacing w:val="-2"/>
          <w:sz w:val="21"/>
        </w:rPr>
        <w:t>技术指标：</w:t>
      </w:r>
    </w:p>
    <w:p>
      <w:pPr>
        <w:pStyle w:val="BodyText"/>
        <w:spacing w:before="11"/>
        <w:rPr>
          <w:b/>
          <w:sz w:val="12"/>
        </w:rPr>
      </w:pPr>
    </w:p>
    <w:tbl>
      <w:tblPr>
        <w:tblW w:w="0" w:type="auto"/>
        <w:jc w:val="left"/>
        <w:tblInd w:w="1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3"/>
        <w:gridCol w:w="2794"/>
      </w:tblGrid>
      <w:tr>
        <w:trPr>
          <w:trHeight w:val="296" w:hRule="atLeast"/>
        </w:trPr>
        <w:tc>
          <w:tcPr>
            <w:tcW w:w="2863" w:type="dxa"/>
          </w:tcPr>
          <w:p>
            <w:pPr>
              <w:pStyle w:val="TableParagraph"/>
              <w:spacing w:line="247" w:lineRule="exact" w:before="0"/>
              <w:rPr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酯化度：</w:t>
            </w:r>
            <w:r>
              <w:rPr>
                <w:spacing w:val="-5"/>
                <w:sz w:val="21"/>
              </w:rPr>
              <w:t>/%</w:t>
            </w:r>
          </w:p>
        </w:tc>
        <w:tc>
          <w:tcPr>
            <w:tcW w:w="2794" w:type="dxa"/>
          </w:tcPr>
          <w:p>
            <w:pPr>
              <w:pStyle w:val="TableParagraph"/>
              <w:spacing w:line="247" w:lineRule="exact" w:before="0"/>
              <w:ind w:left="957" w:right="873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70</w:t>
            </w:r>
            <w:r>
              <w:rPr>
                <w:spacing w:val="-3"/>
                <w:sz w:val="21"/>
              </w:rPr>
              <w:t> </w:t>
            </w:r>
            <w:r>
              <w:rPr>
                <w:rFonts w:ascii="宋体" w:eastAsia="宋体"/>
                <w:spacing w:val="-5"/>
                <w:sz w:val="21"/>
              </w:rPr>
              <w:t>左右</w:t>
            </w:r>
          </w:p>
        </w:tc>
      </w:tr>
      <w:tr>
        <w:trPr>
          <w:trHeight w:val="358" w:hRule="atLeast"/>
        </w:trPr>
        <w:tc>
          <w:tcPr>
            <w:tcW w:w="2863" w:type="dxa"/>
          </w:tcPr>
          <w:p>
            <w:pPr>
              <w:pStyle w:val="TableParagraph"/>
              <w:spacing w:before="41"/>
              <w:ind w:left="52"/>
              <w:rPr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干燥失重</w:t>
            </w:r>
            <w:r>
              <w:rPr>
                <w:spacing w:val="-5"/>
                <w:sz w:val="21"/>
              </w:rPr>
              <w:t>/%</w:t>
            </w:r>
          </w:p>
        </w:tc>
        <w:tc>
          <w:tcPr>
            <w:tcW w:w="2794" w:type="dxa"/>
          </w:tcPr>
          <w:p>
            <w:pPr>
              <w:pStyle w:val="TableParagraph"/>
              <w:spacing w:before="41"/>
              <w:ind w:left="952" w:right="973"/>
              <w:jc w:val="center"/>
              <w:rPr>
                <w:sz w:val="21"/>
              </w:rPr>
            </w:pPr>
            <w:r>
              <w:rPr>
                <w:rFonts w:ascii="宋体" w:hAnsi="宋体"/>
                <w:spacing w:val="-2"/>
                <w:sz w:val="21"/>
              </w:rPr>
              <w:t>≤</w:t>
            </w:r>
            <w:r>
              <w:rPr>
                <w:spacing w:val="-2"/>
                <w:sz w:val="21"/>
              </w:rPr>
              <w:t>12.0</w:t>
            </w:r>
          </w:p>
        </w:tc>
      </w:tr>
      <w:tr>
        <w:trPr>
          <w:trHeight w:val="358" w:hRule="atLeast"/>
        </w:trPr>
        <w:tc>
          <w:tcPr>
            <w:tcW w:w="2863" w:type="dxa"/>
          </w:tcPr>
          <w:p>
            <w:pPr>
              <w:pStyle w:val="TableParagrap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PH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pacing w:val="-10"/>
                <w:sz w:val="21"/>
              </w:rPr>
              <w:t>值</w:t>
            </w:r>
          </w:p>
        </w:tc>
        <w:tc>
          <w:tcPr>
            <w:tcW w:w="2794" w:type="dxa"/>
          </w:tcPr>
          <w:p>
            <w:pPr>
              <w:pStyle w:val="TableParagraph"/>
              <w:ind w:left="871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3.2-4.0</w:t>
            </w:r>
            <w:r>
              <w:rPr>
                <w:rFonts w:ascii="宋体" w:eastAsia="宋体"/>
                <w:spacing w:val="-2"/>
                <w:sz w:val="21"/>
              </w:rPr>
              <w:t>（</w:t>
            </w:r>
            <w:r>
              <w:rPr>
                <w:spacing w:val="-2"/>
                <w:sz w:val="21"/>
              </w:rPr>
              <w:t>1.0%</w:t>
            </w:r>
            <w:r>
              <w:rPr>
                <w:rFonts w:ascii="宋体" w:eastAsia="宋体"/>
                <w:spacing w:val="-2"/>
                <w:sz w:val="21"/>
              </w:rPr>
              <w:t>溶液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</w:tr>
      <w:tr>
        <w:trPr>
          <w:trHeight w:val="358" w:hRule="atLeast"/>
        </w:trPr>
        <w:tc>
          <w:tcPr>
            <w:tcW w:w="2863" w:type="dxa"/>
          </w:tcPr>
          <w:p>
            <w:pPr>
              <w:pStyle w:val="TableParagraph"/>
              <w:spacing w:before="41"/>
              <w:ind w:left="52"/>
              <w:rPr>
                <w:sz w:val="21"/>
              </w:rPr>
            </w:pPr>
            <w:r>
              <w:rPr>
                <w:rFonts w:ascii="宋体" w:eastAsia="宋体"/>
                <w:spacing w:val="-12"/>
                <w:sz w:val="21"/>
              </w:rPr>
              <w:t>二氧化硫 </w:t>
            </w:r>
            <w:r>
              <w:rPr>
                <w:spacing w:val="-2"/>
                <w:sz w:val="21"/>
              </w:rPr>
              <w:t>mg/kg</w:t>
            </w:r>
          </w:p>
        </w:tc>
        <w:tc>
          <w:tcPr>
            <w:tcW w:w="2794" w:type="dxa"/>
          </w:tcPr>
          <w:p>
            <w:pPr>
              <w:pStyle w:val="TableParagraph"/>
              <w:spacing w:before="41"/>
              <w:ind w:left="874" w:right="973"/>
              <w:jc w:val="center"/>
              <w:rPr>
                <w:sz w:val="21"/>
              </w:rPr>
            </w:pPr>
            <w:r>
              <w:rPr>
                <w:rFonts w:ascii="宋体" w:hAnsi="宋体"/>
                <w:spacing w:val="-5"/>
                <w:sz w:val="21"/>
              </w:rPr>
              <w:t>≤</w:t>
            </w:r>
            <w:r>
              <w:rPr>
                <w:spacing w:val="-5"/>
                <w:sz w:val="21"/>
              </w:rPr>
              <w:t>50</w:t>
            </w:r>
          </w:p>
        </w:tc>
      </w:tr>
      <w:tr>
        <w:trPr>
          <w:trHeight w:val="359" w:hRule="atLeast"/>
        </w:trPr>
        <w:tc>
          <w:tcPr>
            <w:tcW w:w="2863" w:type="dxa"/>
          </w:tcPr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酸不溶灰分 </w:t>
            </w:r>
            <w:r>
              <w:rPr>
                <w:spacing w:val="-5"/>
                <w:sz w:val="21"/>
              </w:rPr>
              <w:t>/%</w:t>
            </w:r>
          </w:p>
        </w:tc>
        <w:tc>
          <w:tcPr>
            <w:tcW w:w="2794" w:type="dxa"/>
          </w:tcPr>
          <w:p>
            <w:pPr>
              <w:pStyle w:val="TableParagraph"/>
              <w:spacing w:before="54"/>
              <w:ind w:left="0" w:right="6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358" w:hRule="atLeast"/>
        </w:trPr>
        <w:tc>
          <w:tcPr>
            <w:tcW w:w="2863" w:type="dxa"/>
          </w:tcPr>
          <w:p>
            <w:pPr>
              <w:pStyle w:val="TableParagraph"/>
              <w:spacing w:before="41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菌落总数：</w:t>
            </w:r>
          </w:p>
        </w:tc>
        <w:tc>
          <w:tcPr>
            <w:tcW w:w="2794" w:type="dxa"/>
          </w:tcPr>
          <w:p>
            <w:pPr>
              <w:pStyle w:val="TableParagraph"/>
              <w:spacing w:before="41"/>
              <w:ind w:left="864"/>
              <w:rPr>
                <w:sz w:val="21"/>
              </w:rPr>
            </w:pPr>
            <w:r>
              <w:rPr>
                <w:rFonts w:ascii="宋体" w:hAnsi="宋体"/>
                <w:spacing w:val="-2"/>
                <w:sz w:val="21"/>
              </w:rPr>
              <w:t>≤</w:t>
            </w:r>
            <w:r>
              <w:rPr>
                <w:spacing w:val="-2"/>
                <w:sz w:val="21"/>
              </w:rPr>
              <w:t>5000cfu/g</w:t>
            </w:r>
          </w:p>
        </w:tc>
      </w:tr>
      <w:tr>
        <w:trPr>
          <w:trHeight w:val="362" w:hRule="atLeast"/>
        </w:trPr>
        <w:tc>
          <w:tcPr>
            <w:tcW w:w="286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酵母菌和霉菌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宋体" w:eastAsia="宋体"/>
                <w:spacing w:val="-2"/>
                <w:sz w:val="21"/>
              </w:rPr>
              <w:t>个</w:t>
            </w:r>
            <w:r>
              <w:rPr>
                <w:spacing w:val="-5"/>
                <w:sz w:val="21"/>
              </w:rPr>
              <w:t>/g)</w:t>
            </w:r>
          </w:p>
        </w:tc>
        <w:tc>
          <w:tcPr>
            <w:tcW w:w="2794" w:type="dxa"/>
          </w:tcPr>
          <w:p>
            <w:pPr>
              <w:pStyle w:val="TableParagraph"/>
              <w:ind w:left="852"/>
              <w:rPr>
                <w:sz w:val="21"/>
              </w:rPr>
            </w:pPr>
            <w:r>
              <w:rPr>
                <w:rFonts w:ascii="宋体" w:hAnsi="宋体"/>
                <w:spacing w:val="-2"/>
                <w:sz w:val="21"/>
              </w:rPr>
              <w:t>≤</w:t>
            </w:r>
            <w:r>
              <w:rPr>
                <w:spacing w:val="-2"/>
                <w:sz w:val="21"/>
              </w:rPr>
              <w:t>300cfu/g</w:t>
            </w:r>
          </w:p>
        </w:tc>
      </w:tr>
      <w:tr>
        <w:trPr>
          <w:trHeight w:val="350" w:hRule="atLeast"/>
        </w:trPr>
        <w:tc>
          <w:tcPr>
            <w:tcW w:w="2863" w:type="dxa"/>
          </w:tcPr>
          <w:p>
            <w:pPr>
              <w:pStyle w:val="TableParagraph"/>
              <w:spacing w:before="3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大肠杆菌</w:t>
            </w:r>
          </w:p>
        </w:tc>
        <w:tc>
          <w:tcPr>
            <w:tcW w:w="2794" w:type="dxa"/>
          </w:tcPr>
          <w:p>
            <w:pPr>
              <w:pStyle w:val="TableParagraph"/>
              <w:spacing w:before="38"/>
              <w:ind w:left="957" w:right="97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不得检出</w:t>
            </w:r>
          </w:p>
        </w:tc>
      </w:tr>
      <w:tr>
        <w:trPr>
          <w:trHeight w:val="355" w:hRule="atLeast"/>
        </w:trPr>
        <w:tc>
          <w:tcPr>
            <w:tcW w:w="2863" w:type="dxa"/>
          </w:tcPr>
          <w:p>
            <w:pPr>
              <w:pStyle w:val="TableParagraph"/>
              <w:spacing w:before="4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沙门氏菌</w:t>
            </w:r>
          </w:p>
        </w:tc>
        <w:tc>
          <w:tcPr>
            <w:tcW w:w="2794" w:type="dxa"/>
          </w:tcPr>
          <w:p>
            <w:pPr>
              <w:pStyle w:val="TableParagraph"/>
              <w:spacing w:before="44"/>
              <w:ind w:left="957" w:right="97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不得检出</w:t>
            </w:r>
          </w:p>
        </w:tc>
      </w:tr>
      <w:tr>
        <w:trPr>
          <w:trHeight w:val="366" w:hRule="atLeast"/>
        </w:trPr>
        <w:tc>
          <w:tcPr>
            <w:tcW w:w="2863" w:type="dxa"/>
          </w:tcPr>
          <w:p>
            <w:pPr>
              <w:pStyle w:val="TableParagraph"/>
              <w:spacing w:before="49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砷（</w:t>
            </w:r>
            <w:r>
              <w:rPr>
                <w:rFonts w:ascii="宋体" w:eastAsia="宋体"/>
                <w:spacing w:val="-28"/>
                <w:sz w:val="21"/>
              </w:rPr>
              <w:t>以 </w:t>
            </w:r>
            <w:r>
              <w:rPr>
                <w:sz w:val="21"/>
              </w:rPr>
              <w:t>AS</w:t>
            </w:r>
            <w:r>
              <w:rPr>
                <w:spacing w:val="-5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计</w:t>
            </w:r>
            <w:r>
              <w:rPr>
                <w:rFonts w:ascii="宋体" w:eastAsia="宋体"/>
                <w:spacing w:val="-2"/>
                <w:sz w:val="21"/>
              </w:rPr>
              <w:t>）</w:t>
            </w:r>
            <w:r>
              <w:rPr>
                <w:spacing w:val="-2"/>
                <w:sz w:val="21"/>
              </w:rPr>
              <w:t>mg/kg</w:t>
            </w:r>
          </w:p>
        </w:tc>
        <w:tc>
          <w:tcPr>
            <w:tcW w:w="2794" w:type="dxa"/>
          </w:tcPr>
          <w:p>
            <w:pPr>
              <w:pStyle w:val="TableParagraph"/>
              <w:spacing w:before="49"/>
              <w:ind w:left="940" w:right="973"/>
              <w:jc w:val="center"/>
              <w:rPr>
                <w:sz w:val="21"/>
              </w:rPr>
            </w:pPr>
            <w:r>
              <w:rPr>
                <w:rFonts w:ascii="宋体" w:hAnsi="宋体"/>
                <w:spacing w:val="-4"/>
                <w:sz w:val="21"/>
              </w:rPr>
              <w:t>≤</w:t>
            </w:r>
            <w:r>
              <w:rPr>
                <w:spacing w:val="-4"/>
                <w:sz w:val="21"/>
              </w:rPr>
              <w:t>2.0</w:t>
            </w:r>
          </w:p>
        </w:tc>
      </w:tr>
      <w:tr>
        <w:trPr>
          <w:trHeight w:val="295" w:hRule="atLeast"/>
        </w:trPr>
        <w:tc>
          <w:tcPr>
            <w:tcW w:w="2863" w:type="dxa"/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铅（</w:t>
            </w:r>
            <w:r>
              <w:rPr>
                <w:rFonts w:ascii="宋体" w:eastAsia="宋体"/>
                <w:spacing w:val="-27"/>
                <w:sz w:val="21"/>
              </w:rPr>
              <w:t>以 </w:t>
            </w:r>
            <w:r>
              <w:rPr>
                <w:sz w:val="21"/>
              </w:rPr>
              <w:t>Pb</w:t>
            </w:r>
            <w:r>
              <w:rPr>
                <w:spacing w:val="-9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计</w:t>
            </w:r>
            <w:r>
              <w:rPr>
                <w:rFonts w:ascii="宋体" w:eastAsia="宋体"/>
                <w:spacing w:val="-2"/>
                <w:sz w:val="21"/>
              </w:rPr>
              <w:t>）</w:t>
            </w:r>
            <w:r>
              <w:rPr>
                <w:spacing w:val="-2"/>
                <w:sz w:val="21"/>
              </w:rPr>
              <w:t>mg/kg</w:t>
            </w:r>
          </w:p>
        </w:tc>
        <w:tc>
          <w:tcPr>
            <w:tcW w:w="2794" w:type="dxa"/>
          </w:tcPr>
          <w:p>
            <w:pPr>
              <w:pStyle w:val="TableParagraph"/>
              <w:spacing w:line="236" w:lineRule="exact"/>
              <w:ind w:left="847" w:right="973"/>
              <w:jc w:val="center"/>
              <w:rPr>
                <w:sz w:val="21"/>
              </w:rPr>
            </w:pPr>
            <w:r>
              <w:rPr>
                <w:rFonts w:ascii="宋体" w:hAnsi="宋体"/>
                <w:spacing w:val="-4"/>
                <w:sz w:val="21"/>
              </w:rPr>
              <w:t>≤</w:t>
            </w:r>
            <w:r>
              <w:rPr>
                <w:spacing w:val="-4"/>
                <w:sz w:val="21"/>
              </w:rPr>
              <w:t>2.0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167" w:after="0"/>
        <w:ind w:left="449" w:right="0" w:hanging="318"/>
        <w:jc w:val="left"/>
        <w:rPr>
          <w:sz w:val="21"/>
        </w:rPr>
      </w:pPr>
      <w:r>
        <w:rPr>
          <w:b/>
          <w:spacing w:val="3"/>
          <w:sz w:val="21"/>
        </w:rPr>
        <w:t>标准包装： </w:t>
      </w:r>
      <w:r>
        <w:rPr>
          <w:rFonts w:ascii="Times New Roman" w:eastAsia="Times New Roman"/>
          <w:spacing w:val="-2"/>
          <w:sz w:val="21"/>
        </w:rPr>
        <w:t>25KG/</w:t>
      </w:r>
      <w:r>
        <w:rPr>
          <w:spacing w:val="-2"/>
          <w:sz w:val="21"/>
        </w:rPr>
        <w:t>袋多层牛皮纸袋（内层为聚乙烯袋）</w:t>
      </w:r>
      <w:r>
        <w:rPr>
          <w:spacing w:val="-3"/>
          <w:sz w:val="21"/>
        </w:rPr>
        <w:t>，包装材料均符合相关食品包材标准。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0" w:after="0"/>
        <w:ind w:left="449" w:right="0" w:hanging="318"/>
        <w:jc w:val="left"/>
        <w:rPr>
          <w:rFonts w:ascii="Times New Roman" w:eastAsia="Times New Roman"/>
          <w:sz w:val="21"/>
        </w:rPr>
      </w:pPr>
      <w:r>
        <w:rPr>
          <w:b/>
          <w:sz w:val="21"/>
        </w:rPr>
        <w:t>依据法规：</w:t>
      </w:r>
      <w:r>
        <w:rPr>
          <w:spacing w:val="-6"/>
          <w:sz w:val="21"/>
        </w:rPr>
        <w:t>产品质量符合果胶 </w:t>
      </w:r>
      <w:r>
        <w:rPr>
          <w:rFonts w:ascii="Times New Roman" w:eastAsia="Times New Roman"/>
          <w:sz w:val="21"/>
        </w:rPr>
        <w:t>GB25533</w:t>
      </w:r>
      <w:r>
        <w:rPr>
          <w:rFonts w:ascii="Times New Roman" w:eastAsia="Times New Roman"/>
          <w:spacing w:val="-12"/>
          <w:sz w:val="21"/>
        </w:rPr>
        <w:t> </w:t>
      </w:r>
      <w:r>
        <w:rPr>
          <w:spacing w:val="1"/>
          <w:sz w:val="21"/>
        </w:rPr>
        <w:t>的要求；使用应遵循食品添加剂使用标准</w:t>
      </w:r>
      <w:r>
        <w:rPr>
          <w:rFonts w:ascii="Times New Roman" w:eastAsia="Times New Roman"/>
          <w:spacing w:val="-2"/>
          <w:sz w:val="21"/>
        </w:rPr>
        <w:t>GB2760.</w:t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417" w:lineRule="auto" w:before="0" w:after="0"/>
        <w:ind w:left="132" w:right="918" w:firstLine="0"/>
        <w:jc w:val="left"/>
        <w:rPr>
          <w:sz w:val="21"/>
        </w:rPr>
      </w:pPr>
      <w:r>
        <w:rPr>
          <w:b/>
          <w:spacing w:val="-2"/>
          <w:sz w:val="21"/>
        </w:rPr>
        <w:t>储存条件：</w:t>
      </w:r>
      <w:r>
        <w:rPr>
          <w:spacing w:val="-2"/>
          <w:sz w:val="21"/>
        </w:rPr>
        <w:t>本品宜存放在干燥、通风、阴凉处，并防止与有毒物品以及有异味的物品混放，防鼠；开封启</w:t>
      </w:r>
      <w:r>
        <w:rPr>
          <w:spacing w:val="-2"/>
          <w:sz w:val="21"/>
        </w:rPr>
        <w:t>用时应防止污染；开封后长期不用时应重新封口防潮。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98" w:lineRule="exact" w:before="0" w:after="0"/>
        <w:ind w:left="553" w:right="0" w:hanging="421"/>
        <w:jc w:val="left"/>
        <w:rPr>
          <w:sz w:val="21"/>
        </w:rPr>
      </w:pPr>
      <w:r>
        <w:rPr>
          <w:b/>
          <w:sz w:val="21"/>
        </w:rPr>
        <w:t>保质期</w:t>
      </w:r>
      <w:r>
        <w:rPr>
          <w:sz w:val="21"/>
        </w:rPr>
        <w:t>： 未拆封，在阴凉、干燥环境下（</w:t>
      </w:r>
      <w:r>
        <w:rPr>
          <w:rFonts w:ascii="Times New Roman" w:hAnsi="Times New Roman" w:eastAsia="Times New Roman"/>
          <w:sz w:val="21"/>
        </w:rPr>
        <w:t>25</w:t>
      </w:r>
      <w:r>
        <w:rPr>
          <w:rFonts w:ascii="等线" w:hAnsi="等线" w:eastAsia="等线"/>
          <w:sz w:val="21"/>
        </w:rPr>
        <w:t>℃左右</w:t>
      </w:r>
      <w:r>
        <w:rPr>
          <w:spacing w:val="-7"/>
          <w:sz w:val="21"/>
        </w:rPr>
        <w:t>，相对湿度小于 </w:t>
      </w:r>
      <w:r>
        <w:rPr>
          <w:rFonts w:ascii="Times New Roman" w:hAnsi="Times New Roman" w:eastAsia="Times New Roman"/>
          <w:sz w:val="21"/>
        </w:rPr>
        <w:t>60%</w:t>
      </w:r>
      <w:r>
        <w:rPr>
          <w:sz w:val="21"/>
        </w:rPr>
        <w:t>）</w:t>
      </w:r>
      <w:r>
        <w:rPr>
          <w:spacing w:val="-7"/>
          <w:sz w:val="21"/>
        </w:rPr>
        <w:t>，自制造日期起 </w:t>
      </w:r>
      <w:r>
        <w:rPr>
          <w:rFonts w:ascii="Times New Roman" w:hAnsi="Times New Roman" w:eastAsia="Times New Roman"/>
          <w:sz w:val="21"/>
        </w:rPr>
        <w:t>24</w:t>
      </w:r>
      <w:r>
        <w:rPr>
          <w:rFonts w:ascii="Times New Roman" w:hAnsi="Times New Roman" w:eastAsia="Times New Roman"/>
          <w:spacing w:val="-7"/>
          <w:sz w:val="21"/>
        </w:rPr>
        <w:t> </w:t>
      </w:r>
      <w:r>
        <w:rPr>
          <w:spacing w:val="-3"/>
          <w:sz w:val="21"/>
        </w:rPr>
        <w:t>个月其质</w:t>
      </w:r>
    </w:p>
    <w:p>
      <w:pPr>
        <w:pStyle w:val="BodyText"/>
        <w:spacing w:before="170"/>
        <w:ind w:left="132"/>
      </w:pPr>
      <w:r>
        <w:rPr>
          <w:spacing w:val="-4"/>
        </w:rPr>
        <w:t>量不会改变。</w:t>
      </w:r>
    </w:p>
    <w:sectPr>
      <w:type w:val="continuous"/>
      <w:pgSz w:w="11910" w:h="16840"/>
      <w:pgMar w:top="360" w:bottom="0" w:left="7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等线">
    <w:altName w:val="等线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2" w:hanging="31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40" w:hanging="31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341" w:hanging="31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41" w:hanging="31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542" w:hanging="31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643" w:hanging="31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743" w:hanging="31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44" w:hanging="31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945" w:hanging="318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114"/>
      <w:ind w:left="3602" w:right="427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449" w:hanging="318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50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ghy8055@163.com</dc:creator>
  <dcterms:created xsi:type="dcterms:W3CDTF">2024-07-10T09:19:01Z</dcterms:created>
  <dcterms:modified xsi:type="dcterms:W3CDTF">2024-07-10T09:19:01Z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2024-07-10T00:00:00Z</vt:filetime>
  </property>
  <property fmtid="{D5CDD505-2E9C-101B-9397-08002B2CF9AE}" pid="5" name="Producer">
    <vt:lpwstr>Microsoft® Word 2016</vt:lpwstr>
  </property>
</Properties>
</file>